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C44" w:rsidRDefault="00066E48">
      <w:pPr>
        <w:jc w:val="center"/>
        <w:rPr>
          <w:sz w:val="28"/>
        </w:rPr>
      </w:pPr>
      <w:r>
        <w:rPr>
          <w:sz w:val="28"/>
        </w:rPr>
        <w:t>Пояснительная записка</w:t>
      </w:r>
    </w:p>
    <w:p w:rsidR="00DD3C44" w:rsidRDefault="00066E48">
      <w:pPr>
        <w:jc w:val="center"/>
        <w:rPr>
          <w:sz w:val="28"/>
        </w:rPr>
      </w:pPr>
      <w:r>
        <w:rPr>
          <w:sz w:val="28"/>
        </w:rPr>
        <w:t>к проекту закона Камчатского края</w:t>
      </w:r>
    </w:p>
    <w:p w:rsidR="00DD3C44" w:rsidRDefault="00066E48">
      <w:pPr>
        <w:jc w:val="center"/>
        <w:rPr>
          <w:sz w:val="28"/>
        </w:rPr>
      </w:pPr>
      <w:r>
        <w:rPr>
          <w:sz w:val="28"/>
        </w:rPr>
        <w:t>"Об исполнении краевого бюджета за 2025 год"</w:t>
      </w:r>
    </w:p>
    <w:p w:rsidR="00DD3C44" w:rsidRDefault="00DD3C44">
      <w:pPr>
        <w:rPr>
          <w:sz w:val="28"/>
        </w:rPr>
      </w:pP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Исполнение краевого бюджета за 2025 год осуществлялось на основании Закона Камчатского края от 05.12.2024 № 421 "О</w:t>
      </w:r>
      <w:r>
        <w:rPr>
          <w:sz w:val="28"/>
        </w:rPr>
        <w:t xml:space="preserve"> краевом бюджете на 2025 год и на плановый период 2026 и 2027 годов".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Бюджетные обязательства за 2025 год обеспечивались в установленные сроки и в необходимых объемах.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Исполнение основных параметров краевого бюджета за 2025 год составило: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– по доходам – 1</w:t>
      </w:r>
      <w:r>
        <w:rPr>
          <w:sz w:val="28"/>
        </w:rPr>
        <w:t>51,0 млрд рублей или 101,4 % от утвержденного плана;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по расходам – 152,1 млрд рублей или 98,1 % от утвержденного плана;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дефицит сложился в сумме 1,1 млрд рублей.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За 2024 год исполнение по указанным показателям составило: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– по доходам – 128,7 млрд руб</w:t>
      </w:r>
      <w:r>
        <w:rPr>
          <w:sz w:val="28"/>
        </w:rPr>
        <w:t>лей или 101,1 % от утвержденного плана;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по расходам – 134,4 млрд рублей или 97,9 % от утвержденного плана;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дефицит сложился в сумме 5,7 млрд рублей. </w:t>
      </w:r>
    </w:p>
    <w:p w:rsidR="00DD3C44" w:rsidRDefault="00DD3C44">
      <w:pPr>
        <w:spacing w:before="5"/>
        <w:ind w:right="43" w:firstLine="709"/>
        <w:rPr>
          <w:sz w:val="28"/>
        </w:rPr>
      </w:pPr>
    </w:p>
    <w:p w:rsidR="00DD3C44" w:rsidRDefault="00066E48">
      <w:pPr>
        <w:spacing w:before="5"/>
        <w:ind w:right="43"/>
        <w:jc w:val="center"/>
        <w:rPr>
          <w:sz w:val="28"/>
        </w:rPr>
      </w:pPr>
      <w:r>
        <w:rPr>
          <w:sz w:val="28"/>
        </w:rPr>
        <w:t>Доходы краевого бюджета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Доходная часть краевого бюджета в отчетном финансовом году формировалась за </w:t>
      </w:r>
      <w:r>
        <w:rPr>
          <w:sz w:val="28"/>
        </w:rPr>
        <w:t xml:space="preserve">счет поступлений налоговых и неналоговых доходов, безвозмездных поступлений и ее объем по итогам исполнения краевого бюджета за 2025 год составил </w:t>
      </w:r>
      <w:r>
        <w:rPr>
          <w:sz w:val="28"/>
        </w:rPr>
        <w:br/>
        <w:t>151,0 млрд рублей или 101,4 % от плановых (прогнозных) назначений 2025 года.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Поступление налоговых и неналого</w:t>
      </w:r>
      <w:r>
        <w:rPr>
          <w:sz w:val="28"/>
        </w:rPr>
        <w:t xml:space="preserve">вых доходов за 2025 год составило </w:t>
      </w:r>
      <w:r>
        <w:rPr>
          <w:sz w:val="28"/>
        </w:rPr>
        <w:br/>
        <w:t xml:space="preserve">57,3 млрд рублей или 107,2 % от плановых (прогнозных) назначений </w:t>
      </w:r>
      <w:r>
        <w:rPr>
          <w:sz w:val="28"/>
        </w:rPr>
        <w:br/>
        <w:t xml:space="preserve">2025 года. Удельный вес налоговых и неналоговых доходов в общем объеме доходов составил 37,9 %.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Поступление налоговых доходов за 2025 год составило </w:t>
      </w:r>
      <w:r>
        <w:rPr>
          <w:sz w:val="28"/>
        </w:rPr>
        <w:br/>
        <w:t xml:space="preserve">53,5 </w:t>
      </w:r>
      <w:r>
        <w:rPr>
          <w:sz w:val="28"/>
        </w:rPr>
        <w:t>млрд рублей или 106,6 % от годовых плановых (прогнозных) назначений. Удельный вес налоговых доходов в общем объеме доходов составил 35,4 %.</w:t>
      </w:r>
    </w:p>
    <w:p w:rsidR="00DD3C44" w:rsidRDefault="00066E48">
      <w:pPr>
        <w:ind w:firstLine="709"/>
        <w:jc w:val="both"/>
        <w:rPr>
          <w:sz w:val="28"/>
          <w:highlight w:val="yellow"/>
        </w:rPr>
      </w:pPr>
      <w:r>
        <w:rPr>
          <w:sz w:val="28"/>
        </w:rPr>
        <w:t xml:space="preserve">Поступление налоговых доходов за 2024 год составило </w:t>
      </w:r>
      <w:r>
        <w:rPr>
          <w:sz w:val="28"/>
        </w:rPr>
        <w:br/>
        <w:t>38,2 млрд рублей или 96,0 % от годовых плановых (прогнозных) на</w:t>
      </w:r>
      <w:r>
        <w:rPr>
          <w:sz w:val="28"/>
        </w:rPr>
        <w:t>значений. Удельный вес налоговых доходов в общем объеме доходов составил 29,7 %.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целом, поступление налоговых доходов за 2025 год по сравнению с 2024 годом увеличилось на 15,3 млрд рублей или 40,0 %. </w:t>
      </w:r>
      <w:r>
        <w:rPr>
          <w:i/>
          <w:sz w:val="28"/>
        </w:rPr>
        <w:t xml:space="preserve">Рост поступлений обеспечен </w:t>
      </w:r>
      <w:r>
        <w:rPr>
          <w:sz w:val="28"/>
        </w:rPr>
        <w:t>следующими налоговыми доход</w:t>
      </w:r>
      <w:r>
        <w:rPr>
          <w:sz w:val="28"/>
        </w:rPr>
        <w:t>ами: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i/>
          <w:sz w:val="28"/>
        </w:rPr>
        <w:t>налог на прибыль организаций</w:t>
      </w:r>
      <w:r>
        <w:rPr>
          <w:sz w:val="28"/>
        </w:rPr>
        <w:t xml:space="preserve"> на 7,5 млрд рублей или в 2,7 раза.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На рост поступлений оказали следующие факторы: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–  контрольно-аналитическая работа Управления Федеральной налоговой службы по Камчатскому краю, направленная на побуждение к самостоятельн</w:t>
      </w:r>
      <w:r>
        <w:rPr>
          <w:sz w:val="28"/>
        </w:rPr>
        <w:t>ому уточнению отдельными налогоплательщиками налоговых обязательств за прошлые налоговые периоды;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смена отдельными налогоплательщиками налогового режима (с 1 января </w:t>
      </w:r>
      <w:r>
        <w:rPr>
          <w:sz w:val="28"/>
        </w:rPr>
        <w:br/>
        <w:t>2025 года представлено 27 уведомлений об изменении налогового режима с ЕСХН на общую сис</w:t>
      </w:r>
      <w:r>
        <w:rPr>
          <w:sz w:val="28"/>
        </w:rPr>
        <w:t>тему налогообложения).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Кроме того, рост поступлений связан с увеличением налогооблагаемой базы за </w:t>
      </w:r>
      <w:r>
        <w:rPr>
          <w:sz w:val="28"/>
        </w:rPr>
        <w:lastRenderedPageBreak/>
        <w:t>счет постановки на учет в 2025 году новых налогоплательщиков, завершением периода применения отдельными налогоплательщиками – резидентами ТОР "Камчатка" "</w:t>
      </w:r>
      <w:r>
        <w:rPr>
          <w:sz w:val="28"/>
        </w:rPr>
        <w:t>нулевой" ставки, роста тарифов на услуги водоснабжения и водоотведения, уплатой налога по внереализационным доходам за 2024 год от процентов по депозитным вкладам, золотым займам, увеличением внереализационных доходов по начисленным процентам за пользовани</w:t>
      </w:r>
      <w:r>
        <w:rPr>
          <w:sz w:val="28"/>
        </w:rPr>
        <w:t>е заемными средствами, образовавшимся за счет курсовой разницы, а также реализации многофункционального судна;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i/>
          <w:sz w:val="28"/>
        </w:rPr>
        <w:t xml:space="preserve">налог на доходы </w:t>
      </w:r>
      <w:r>
        <w:rPr>
          <w:sz w:val="28"/>
        </w:rPr>
        <w:t>физических лиц на 2,6 млрд рублей или 12,9 % за счет увеличения фонда платы труда, а также введения с 01.01.2025 года прогресси</w:t>
      </w:r>
      <w:r>
        <w:rPr>
          <w:sz w:val="28"/>
        </w:rPr>
        <w:t>вной шкалы налогообложения с учетом районного коэффициента для районов Крайнего Севера и приравненных к ним территорий;</w:t>
      </w:r>
    </w:p>
    <w:p w:rsidR="00DD3C44" w:rsidRDefault="00066E48">
      <w:pPr>
        <w:pStyle w:val="aff5"/>
        <w:spacing w:beforeAutospacing="0" w:afterAutospacing="0" w:line="288" w:lineRule="atLeast"/>
        <w:ind w:firstLine="540"/>
        <w:jc w:val="both"/>
        <w:rPr>
          <w:sz w:val="28"/>
          <w:highlight w:val="yellow"/>
        </w:rPr>
      </w:pPr>
      <w:r>
        <w:rPr>
          <w:sz w:val="28"/>
        </w:rPr>
        <w:t xml:space="preserve">– </w:t>
      </w:r>
      <w:r>
        <w:rPr>
          <w:i/>
          <w:sz w:val="28"/>
        </w:rPr>
        <w:t>акцизы по подакцизным товарам</w:t>
      </w:r>
      <w:r>
        <w:rPr>
          <w:sz w:val="28"/>
        </w:rPr>
        <w:t>, производимым на территории Российской Федерации на 1,2 млрд рублей или 38,6 % за счет увеличения доходо</w:t>
      </w:r>
      <w:r>
        <w:rPr>
          <w:sz w:val="28"/>
        </w:rPr>
        <w:t>в от уплаты акцизов на нефтепродукты, распределяемых Федеральным казначейством в соответствии с нормативами, установленными федеральным законом о федеральном бюджете на 2025 год и плановый период 2026 и 2027 годов;</w:t>
      </w:r>
    </w:p>
    <w:p w:rsidR="00DD3C44" w:rsidRDefault="00066E48">
      <w:pPr>
        <w:pStyle w:val="aff5"/>
        <w:spacing w:beforeAutospacing="0" w:afterAutospacing="0" w:line="288" w:lineRule="atLeast"/>
        <w:ind w:firstLine="54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i/>
          <w:sz w:val="28"/>
        </w:rPr>
        <w:t>налог на добычу полезных ископаемых</w:t>
      </w:r>
      <w:r>
        <w:rPr>
          <w:sz w:val="28"/>
        </w:rPr>
        <w:t xml:space="preserve"> на </w:t>
      </w:r>
      <w:r>
        <w:rPr>
          <w:sz w:val="28"/>
        </w:rPr>
        <w:t>2,3 млрд рублей или в 3,4 раза за счет изменения с 1 января 2025 года порядка исчисления налога по полупродуктам, содержащим в себе один или несколько драгоценных металлов, получаемым по завершении комплекса операций по добыче драгоценных металлов;</w:t>
      </w:r>
    </w:p>
    <w:p w:rsidR="00DD3C44" w:rsidRDefault="00066E48">
      <w:pPr>
        <w:pStyle w:val="aff5"/>
        <w:spacing w:beforeAutospacing="0" w:afterAutospacing="0" w:line="288" w:lineRule="atLeast"/>
        <w:ind w:firstLine="540"/>
        <w:jc w:val="both"/>
        <w:rPr>
          <w:sz w:val="28"/>
        </w:rPr>
      </w:pPr>
      <w:r>
        <w:rPr>
          <w:sz w:val="28"/>
        </w:rPr>
        <w:t xml:space="preserve">– </w:t>
      </w:r>
      <w:r>
        <w:rPr>
          <w:i/>
          <w:sz w:val="28"/>
        </w:rPr>
        <w:t>сборы</w:t>
      </w:r>
      <w:r>
        <w:rPr>
          <w:i/>
          <w:sz w:val="28"/>
        </w:rPr>
        <w:t xml:space="preserve"> за пользование объектами водных биологических ресурсов</w:t>
      </w:r>
      <w:r>
        <w:rPr>
          <w:sz w:val="28"/>
        </w:rPr>
        <w:t xml:space="preserve"> на </w:t>
      </w:r>
      <w:r>
        <w:rPr>
          <w:sz w:val="28"/>
        </w:rPr>
        <w:br/>
        <w:t>1,5 млрд рублей или 45,8 % за счет увеличения выданных разрешений на вылов водных биологических ресурсов в период лососевой путины 2025 года, а также применения в соответствии с п.4 статьи 333.3 Н</w:t>
      </w:r>
      <w:r>
        <w:rPr>
          <w:sz w:val="28"/>
        </w:rPr>
        <w:t>алогового кодекса Российской Федерации с 01.01.2025 коэффициента-дефлятора равного 1,080 к ставке сбора за каждый объект водных биологических ресурсов.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общем объеме налоговых доходов за 2025 год основная доля поступлений приходится на: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налог на доходы </w:t>
      </w:r>
      <w:r>
        <w:rPr>
          <w:sz w:val="28"/>
        </w:rPr>
        <w:t xml:space="preserve">физических лиц – 23,2 млрд рублей или 43,3 % от общего объема налоговых доходов; 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налог на прибыль организаций – 12,0 млрд рублей или 22,4 % от общего объема налоговых доходов;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сборы за пользование объектами водных биологических ресурсов – </w:t>
      </w:r>
      <w:r>
        <w:rPr>
          <w:sz w:val="28"/>
        </w:rPr>
        <w:br/>
        <w:t>4,7 млрд ру</w:t>
      </w:r>
      <w:r>
        <w:rPr>
          <w:sz w:val="28"/>
        </w:rPr>
        <w:t>блей или 8,9 % от общего объема налоговых доходов;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акцизы по подакцизным товарам – 4,2 млрд рублей или 7,8 % от общего объема налоговых доходов;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налог на добычу полезных ископаемых – 3,3 млрд рублей или 6,1 % от общего объема налоговых доходов;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налог</w:t>
      </w:r>
      <w:r>
        <w:rPr>
          <w:sz w:val="28"/>
        </w:rPr>
        <w:t xml:space="preserve"> на имущество организаций – 3,2 млрд рублей или 5,9 % от общего объема налоговых доходов.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Неналоговые доходы краевого бюджета за 2025 год составили 3,8 млрд рублей или 116,7 % от годовых плановых назначений. Удельный вес в общем объеме поступлений составля</w:t>
      </w:r>
      <w:r>
        <w:rPr>
          <w:sz w:val="28"/>
        </w:rPr>
        <w:t>ет 2,5 %.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За 2024 год неналоговые доходы краевого бюджета составили 1,9 млрд рублей или 109,3 % от годовых плановых назначений. Удельный вес в общем объеме поступлений составляет 1,5 %.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Основная доля неналоговых поступлений за 2025 год обеспечена: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дохода</w:t>
      </w:r>
      <w:r>
        <w:rPr>
          <w:sz w:val="28"/>
        </w:rPr>
        <w:t>ми от операций по управлению остатками средств на едином казначейском счете, зачисляемыми в бюджеты субъектов Российской Федерации, в сумме 2,0 млрд рублей или 52,9 % от общего объема неналоговых доходов;</w:t>
      </w:r>
    </w:p>
    <w:p w:rsidR="00DD3C44" w:rsidRDefault="00066E48">
      <w:pPr>
        <w:tabs>
          <w:tab w:val="left" w:pos="928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поступлениями от штрафов, санкций, возмещения уще</w:t>
      </w:r>
      <w:r>
        <w:rPr>
          <w:sz w:val="28"/>
        </w:rPr>
        <w:t xml:space="preserve">рба в сумме </w:t>
      </w:r>
      <w:r>
        <w:rPr>
          <w:sz w:val="28"/>
        </w:rPr>
        <w:br/>
        <w:t>1,0 млрд рублей или 27,3 % от общего объема неналоговых доходов.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Безвозмездные поступления за 2025 год составили 93,7 млрд рублей или </w:t>
      </w:r>
      <w:r>
        <w:rPr>
          <w:sz w:val="28"/>
        </w:rPr>
        <w:br/>
        <w:t xml:space="preserve">98,1 % от годовых плановых назначений. Их доля в общем объеме поступлений составила 62,1 %.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За 2024 год безвозмездные поступления составили 88,6 млрд рублей или </w:t>
      </w:r>
      <w:r>
        <w:rPr>
          <w:sz w:val="28"/>
        </w:rPr>
        <w:br/>
        <w:t>103,2 % от годовых плановых назначений. Их доля в общем объеме поступлений составила 68,9 %.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структуре безвозмездных поступлений 2025 года безвозмездные поступления от других бюджетов </w:t>
      </w:r>
      <w:r>
        <w:rPr>
          <w:sz w:val="28"/>
        </w:rPr>
        <w:t>бюджетной системы Российской Федерации составили 83,0 млрд рублей, прочие безвозмездные поступления (поступления от ПАО "</w:t>
      </w:r>
      <w:proofErr w:type="spellStart"/>
      <w:r>
        <w:rPr>
          <w:sz w:val="28"/>
        </w:rPr>
        <w:t>РусГидро</w:t>
      </w:r>
      <w:proofErr w:type="spellEnd"/>
      <w:r>
        <w:rPr>
          <w:sz w:val="28"/>
        </w:rPr>
        <w:t xml:space="preserve">" на возмещение недополученных доходов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организациям) – 10,1 млрд рублей, безвозмездные поступления от государс</w:t>
      </w:r>
      <w:r>
        <w:rPr>
          <w:sz w:val="28"/>
        </w:rPr>
        <w:t>твенных (муниципальных) организаций (поступления от ППК "Фонд развития территорий" на переселение граждан из аварийного жилья) – 361,4 млн рублей, безвозмездные поступления от негосударственных организаций – 13,7 млн рублей, доходы от возврата остатков про</w:t>
      </w:r>
      <w:r>
        <w:rPr>
          <w:sz w:val="28"/>
        </w:rPr>
        <w:t xml:space="preserve">шлых лет – 619,5 млн рублей, возврат остатков субсидий, субвенций и иных межбюджетных трансфертов, имеющих целевое назначение прошлых лет – </w:t>
      </w:r>
      <w:r>
        <w:rPr>
          <w:sz w:val="28"/>
        </w:rPr>
        <w:br/>
        <w:t>"минус" 303,3 млн рублей.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Структурно исполнение по безвозмездным поступлениям от других бюджетов бюджетной системы </w:t>
      </w:r>
      <w:r>
        <w:rPr>
          <w:sz w:val="28"/>
        </w:rPr>
        <w:t>Российской Федерации за 2025 год выглядит следующим образом:</w:t>
      </w:r>
    </w:p>
    <w:p w:rsidR="00DD3C44" w:rsidRDefault="00066E48">
      <w:pPr>
        <w:pStyle w:val="afe"/>
        <w:numPr>
          <w:ilvl w:val="0"/>
          <w:numId w:val="2"/>
        </w:numPr>
        <w:tabs>
          <w:tab w:val="clear" w:pos="1070"/>
          <w:tab w:val="left" w:pos="1134"/>
        </w:tabs>
        <w:ind w:left="0" w:firstLine="709"/>
        <w:jc w:val="both"/>
        <w:rPr>
          <w:i/>
          <w:sz w:val="28"/>
        </w:rPr>
      </w:pPr>
      <w:r>
        <w:rPr>
          <w:i/>
          <w:sz w:val="28"/>
        </w:rPr>
        <w:t xml:space="preserve">дотации </w:t>
      </w:r>
      <w:r>
        <w:rPr>
          <w:sz w:val="28"/>
        </w:rPr>
        <w:t xml:space="preserve">бюджетам субъектов Российской Федерации – 56,4 млрд рублей или 100,0 % от годовых плановых назначений (2024 год – </w:t>
      </w:r>
      <w:r>
        <w:rPr>
          <w:sz w:val="28"/>
        </w:rPr>
        <w:br/>
        <w:t>51,8 млрд рублей или 100,0 % от годовых плановых назначений);</w:t>
      </w:r>
      <w:r>
        <w:rPr>
          <w:i/>
          <w:sz w:val="28"/>
        </w:rPr>
        <w:t xml:space="preserve"> </w:t>
      </w:r>
    </w:p>
    <w:p w:rsidR="00DD3C44" w:rsidRDefault="00066E48">
      <w:pPr>
        <w:numPr>
          <w:ilvl w:val="0"/>
          <w:numId w:val="2"/>
        </w:numPr>
        <w:tabs>
          <w:tab w:val="clear" w:pos="1070"/>
          <w:tab w:val="left" w:pos="1134"/>
        </w:tabs>
        <w:ind w:left="0" w:firstLine="709"/>
        <w:jc w:val="both"/>
        <w:rPr>
          <w:sz w:val="28"/>
        </w:rPr>
      </w:pPr>
      <w:r>
        <w:rPr>
          <w:i/>
          <w:sz w:val="28"/>
        </w:rPr>
        <w:t>субсидии –</w:t>
      </w:r>
      <w:r>
        <w:rPr>
          <w:sz w:val="28"/>
        </w:rPr>
        <w:t xml:space="preserve"> 24,8 млрд рублей или 92,4 % от утвержденных годовых плановых назначений (2024 год – 26,1 млрд рублей или 112,5 % от утвержденных годовых плановых назначений);</w:t>
      </w:r>
    </w:p>
    <w:p w:rsidR="00DD3C44" w:rsidRDefault="00066E48">
      <w:pPr>
        <w:numPr>
          <w:ilvl w:val="0"/>
          <w:numId w:val="2"/>
        </w:numPr>
        <w:tabs>
          <w:tab w:val="clear" w:pos="1070"/>
          <w:tab w:val="left" w:pos="1134"/>
        </w:tabs>
        <w:ind w:left="0" w:firstLine="709"/>
        <w:jc w:val="both"/>
        <w:rPr>
          <w:sz w:val="28"/>
        </w:rPr>
      </w:pPr>
      <w:r>
        <w:rPr>
          <w:i/>
          <w:sz w:val="28"/>
        </w:rPr>
        <w:t>субвенции</w:t>
      </w:r>
      <w:r>
        <w:rPr>
          <w:sz w:val="28"/>
        </w:rPr>
        <w:t xml:space="preserve"> – 1,0 млрд рублей или 100,2 % от утвержденных годовых плановых назначений (2</w:t>
      </w:r>
      <w:r>
        <w:rPr>
          <w:sz w:val="28"/>
        </w:rPr>
        <w:t>024 год – 998,1 млн рублей или 99,9 % от утвержденных годовых плановых назначений);</w:t>
      </w:r>
    </w:p>
    <w:p w:rsidR="00DD3C44" w:rsidRDefault="00066E48">
      <w:pPr>
        <w:numPr>
          <w:ilvl w:val="0"/>
          <w:numId w:val="2"/>
        </w:numPr>
        <w:tabs>
          <w:tab w:val="clear" w:pos="1070"/>
          <w:tab w:val="left" w:pos="710"/>
          <w:tab w:val="left" w:pos="1134"/>
        </w:tabs>
        <w:ind w:left="0" w:firstLine="709"/>
        <w:jc w:val="both"/>
        <w:rPr>
          <w:sz w:val="28"/>
        </w:rPr>
      </w:pPr>
      <w:r>
        <w:rPr>
          <w:i/>
          <w:sz w:val="28"/>
        </w:rPr>
        <w:t>иные межбюджетные трансферты</w:t>
      </w:r>
      <w:r>
        <w:rPr>
          <w:sz w:val="28"/>
        </w:rPr>
        <w:t xml:space="preserve"> – 709,9 млн рублей или 95,9 % от утвержденных годовых плановых назначений (2024 год – </w:t>
      </w:r>
      <w:r>
        <w:rPr>
          <w:sz w:val="28"/>
        </w:rPr>
        <w:br/>
        <w:t>639,7 млн рублей или 91,6 % от утвержденных годовых план</w:t>
      </w:r>
      <w:r>
        <w:rPr>
          <w:sz w:val="28"/>
        </w:rPr>
        <w:t>овых назначений).</w:t>
      </w:r>
    </w:p>
    <w:p w:rsidR="00DD3C44" w:rsidRDefault="00DD3C44">
      <w:pPr>
        <w:ind w:firstLine="709"/>
        <w:jc w:val="both"/>
        <w:rPr>
          <w:sz w:val="28"/>
          <w:highlight w:val="yellow"/>
        </w:rPr>
      </w:pPr>
    </w:p>
    <w:p w:rsidR="00DD3C44" w:rsidRDefault="00066E48">
      <w:pPr>
        <w:spacing w:before="5"/>
        <w:ind w:right="43"/>
        <w:jc w:val="center"/>
        <w:rPr>
          <w:sz w:val="28"/>
        </w:rPr>
      </w:pPr>
      <w:r>
        <w:rPr>
          <w:sz w:val="28"/>
        </w:rPr>
        <w:t>Расходы краевого бюджета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Расходы краевого бюджета за 2025 год исполнены в сумме </w:t>
      </w:r>
      <w:r>
        <w:rPr>
          <w:sz w:val="28"/>
        </w:rPr>
        <w:br/>
      </w:r>
      <w:r>
        <w:rPr>
          <w:sz w:val="28"/>
        </w:rPr>
        <w:lastRenderedPageBreak/>
        <w:t>152,1 млрд рублей или 98,1 % от утвержденных годовых ассигнований.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Основную долю в общем объеме расходов по исполнению краевого бюджета за 2025 год составил</w:t>
      </w:r>
      <w:r>
        <w:rPr>
          <w:sz w:val="28"/>
        </w:rPr>
        <w:t>и: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04 "Национальная экономика" – 29,1 % в общем объеме расходов;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 xml:space="preserve">р. 07 "Образование" – 16,1 % в общем объеме расходов; 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05 "Жилищно-коммунальное хозяйство" – 16,0 % в общем объеме расходов;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10 "Социальная политика" – 14,1 % в общем объеме расходов</w:t>
      </w:r>
      <w:r>
        <w:rPr>
          <w:sz w:val="28"/>
        </w:rPr>
        <w:t xml:space="preserve">; 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01 "Общегосударственные вопросы" – 6,4 % в общем объеме расходов;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14 "Межбюджетные трансферты общего характера бюджетам бюджетной системы Российской Федерации" – 6,3 % в общем объеме расходов;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09 "Здравоохранение" – 5,7 % в общем объеме расходо</w:t>
      </w:r>
      <w:r>
        <w:rPr>
          <w:sz w:val="28"/>
        </w:rPr>
        <w:t>в.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Исполнение кассового плана по расходам краевого бюджета за 2025 год составило 98,1 %, в том числе по разделам классификации расходов бюджетов: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01 "Общегосударственные вопросы" – 95,8 %;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02 "Национальная оборона" – 97,3 %;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03 "Национальная безоп</w:t>
      </w:r>
      <w:r>
        <w:rPr>
          <w:sz w:val="28"/>
        </w:rPr>
        <w:t xml:space="preserve">асность и правоохранительная деятельность" – 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98,5 %;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04 "Национальная экономика" – 97,5%;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05 "Жилищно-коммунальное хозяйство" – 97,6 %;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06 "Охрана окружающей среды" – 100,0 %;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07 "Образование" – 98,5 %;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08 "Культура, кинематография" – 99,7</w:t>
      </w:r>
      <w:r>
        <w:rPr>
          <w:sz w:val="28"/>
        </w:rPr>
        <w:t xml:space="preserve">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09 "Здравоохранение" – 97,0 %;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10 "Социальная политика" – 99,2 %;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11 "Физическая культура и спорт" – 100,0 %;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12 "Средства массовой информации" – 100,0 %;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13 "Обслуживание государственного и муниципального долга" – 100,0 %;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р. 14 "Межбюд</w:t>
      </w:r>
      <w:r>
        <w:rPr>
          <w:sz w:val="28"/>
        </w:rPr>
        <w:t>жетные трансферты общего характера бюджетам бюджетной системы Российской Федерации" – 99,9 %.</w:t>
      </w:r>
    </w:p>
    <w:p w:rsidR="00DD3C44" w:rsidRDefault="00DD3C44">
      <w:pPr>
        <w:ind w:right="58" w:firstLine="709"/>
        <w:jc w:val="both"/>
        <w:rPr>
          <w:sz w:val="28"/>
        </w:rPr>
      </w:pPr>
    </w:p>
    <w:p w:rsidR="00DD3C44" w:rsidRDefault="00066E48">
      <w:pPr>
        <w:tabs>
          <w:tab w:val="left" w:pos="1541"/>
        </w:tabs>
        <w:jc w:val="center"/>
        <w:rPr>
          <w:sz w:val="28"/>
        </w:rPr>
      </w:pPr>
      <w:r>
        <w:rPr>
          <w:sz w:val="28"/>
        </w:rPr>
        <w:t xml:space="preserve">Исполнение расходов в области национальной экономики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"Национальная экономика" за 2025 год составило </w:t>
      </w:r>
      <w:r>
        <w:rPr>
          <w:sz w:val="28"/>
        </w:rPr>
        <w:br/>
        <w:t>44,3 млрд рублей или 97,5 % от утверж</w:t>
      </w:r>
      <w:r>
        <w:rPr>
          <w:sz w:val="28"/>
        </w:rPr>
        <w:t xml:space="preserve">денных годовых ассигнований.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Исполнение за 2024 год составило 36,9 млрд рублей или 97,7 % от утвержденных годовых ассигнований.</w:t>
      </w:r>
    </w:p>
    <w:p w:rsidR="00DD3C44" w:rsidRDefault="00066E48">
      <w:pPr>
        <w:ind w:right="58" w:firstLine="709"/>
        <w:jc w:val="both"/>
        <w:rPr>
          <w:sz w:val="28"/>
        </w:rPr>
      </w:pPr>
      <w:r>
        <w:rPr>
          <w:sz w:val="28"/>
        </w:rPr>
        <w:t>Основную долю в расходах краевого бюджета по разделу "Национальная экономика" за 2025 год составили: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– расходы по подразделу "Т</w:t>
      </w:r>
      <w:r>
        <w:rPr>
          <w:sz w:val="28"/>
        </w:rPr>
        <w:t xml:space="preserve">опливно-энергетический комплекс" – </w:t>
      </w:r>
      <w:r>
        <w:rPr>
          <w:sz w:val="28"/>
        </w:rPr>
        <w:br/>
        <w:t>26,5 млрд рублей или 99,8 % от утвержденных годовых ассигнований;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"Дорожное хозяйство (дорожные фонды)" – </w:t>
      </w:r>
      <w:r>
        <w:rPr>
          <w:sz w:val="28"/>
        </w:rPr>
        <w:br/>
        <w:t>9,1 млрд рублей или 91,0 % от утвержденных годовых ассигнований;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</w:t>
      </w:r>
      <w:r>
        <w:rPr>
          <w:sz w:val="28"/>
        </w:rPr>
        <w:t>"Транспорт" – 2,8 млрд рублей или 96,8 % от утвержденных годовых ассигнований;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– расходы по подразделу "Сельское хозяйство и рыболовство" – </w:t>
      </w:r>
      <w:r>
        <w:rPr>
          <w:sz w:val="28"/>
        </w:rPr>
        <w:br/>
      </w:r>
      <w:r>
        <w:rPr>
          <w:sz w:val="28"/>
        </w:rPr>
        <w:lastRenderedPageBreak/>
        <w:t>2,0 млрд рублей или 97,8 % от утвержденных годовых ассигнований.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Государственная поддержка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</w:t>
      </w:r>
      <w:r>
        <w:rPr>
          <w:sz w:val="28"/>
        </w:rPr>
        <w:t xml:space="preserve">ациям Камчатского края в целях возмещения недополученных доходов в связи с оказанием услуг по отпуску электрической энергии населению и приравненным к нему категориям потребителей по льготным тарифам за 2025 год составила 8,1 млрд рублей или </w:t>
      </w:r>
      <w:r>
        <w:rPr>
          <w:sz w:val="28"/>
        </w:rPr>
        <w:br/>
        <w:t>100,0 % от ут</w:t>
      </w:r>
      <w:r>
        <w:rPr>
          <w:sz w:val="28"/>
        </w:rPr>
        <w:t>вержденных годовых ассигнований (за 2024 год – 6,9 млрд рублей или 100,0 % от утвержденных годовых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Государственная поддержка предприятиям </w:t>
      </w:r>
      <w:r>
        <w:rPr>
          <w:sz w:val="28"/>
        </w:rPr>
        <w:t>в целях возмещения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уровня, составила за 2025 года 63,7 млн рублей или 100,0 % от утв</w:t>
      </w:r>
      <w:r>
        <w:rPr>
          <w:sz w:val="28"/>
        </w:rPr>
        <w:t>ержденных годовых ассигнований (за 2024 год – 91,9 млн рублей или 100,0 % от утвержденных годовых ассигнований).</w:t>
      </w:r>
    </w:p>
    <w:p w:rsidR="00DD3C44" w:rsidRDefault="00066E48">
      <w:pPr>
        <w:pStyle w:val="consplusnormal"/>
        <w:spacing w:before="0"/>
        <w:ind w:firstLine="709"/>
        <w:contextualSpacing/>
        <w:outlineLvl w:val="3"/>
        <w:rPr>
          <w:sz w:val="28"/>
        </w:rPr>
      </w:pPr>
      <w:r>
        <w:rPr>
          <w:sz w:val="28"/>
        </w:rPr>
        <w:t xml:space="preserve">В соответствии с Постановлением Правительства Российской Федерации от 28.07.2017 № 895 за 2025 год на возмещение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 </w:t>
      </w:r>
      <w:r>
        <w:rPr>
          <w:sz w:val="28"/>
        </w:rPr>
        <w:t>недополученных доходов в связи с доведением цен (тарифов) на электрическую энергию (мощность) до планируемых на следующий период регулирования базовых уровней цен (тарифов) на электрическую энергию (мощность) за счет безвозмездных целевых взносов ПАО "</w:t>
      </w:r>
      <w:proofErr w:type="spellStart"/>
      <w:r>
        <w:rPr>
          <w:sz w:val="28"/>
        </w:rPr>
        <w:t>РусГ</w:t>
      </w:r>
      <w:r>
        <w:rPr>
          <w:sz w:val="28"/>
        </w:rPr>
        <w:t>идро</w:t>
      </w:r>
      <w:proofErr w:type="spellEnd"/>
      <w:r>
        <w:rPr>
          <w:sz w:val="28"/>
        </w:rPr>
        <w:t>" направлено 10,2 млрд рублей или 100,0 % от утвержденных ассигнований (за 2024 год – 8,5 млрд рублей или 100,0 % от утвержденных ассигнований).</w:t>
      </w:r>
    </w:p>
    <w:p w:rsidR="00DD3C44" w:rsidRDefault="00066E48">
      <w:pPr>
        <w:tabs>
          <w:tab w:val="left" w:pos="1541"/>
        </w:tabs>
        <w:contextualSpacing/>
        <w:jc w:val="center"/>
        <w:rPr>
          <w:sz w:val="28"/>
        </w:rPr>
      </w:pPr>
      <w:r>
        <w:rPr>
          <w:sz w:val="28"/>
        </w:rPr>
        <w:t>Исполнение расходов на жилищно-коммунального хозяйство</w:t>
      </w:r>
    </w:p>
    <w:p w:rsidR="00DD3C44" w:rsidRDefault="00066E48">
      <w:pPr>
        <w:tabs>
          <w:tab w:val="left" w:pos="1541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Исполнение по разделу "</w:t>
      </w:r>
      <w:r>
        <w:rPr>
          <w:sz w:val="28"/>
        </w:rPr>
        <w:t xml:space="preserve">Жилищно-коммунальное хозяйство" за </w:t>
      </w:r>
      <w:r>
        <w:rPr>
          <w:sz w:val="28"/>
        </w:rPr>
        <w:br/>
        <w:t xml:space="preserve">2025 год составило 24,4 млрд рублей или 97,6 % от утвержденных годовых ассигнований. </w:t>
      </w:r>
    </w:p>
    <w:p w:rsidR="00DD3C44" w:rsidRDefault="00066E48">
      <w:pPr>
        <w:tabs>
          <w:tab w:val="left" w:pos="1541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Исполнение за 2024 год составило 22,7 млрд рублей или 97,3 % от утвержденных годовых ассигнований.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color w:val="auto"/>
          <w:sz w:val="28"/>
        </w:rPr>
        <w:t>Расходы краевого бюджета по предос</w:t>
      </w:r>
      <w:r>
        <w:rPr>
          <w:color w:val="auto"/>
          <w:sz w:val="28"/>
        </w:rPr>
        <w:t xml:space="preserve">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</w:t>
      </w:r>
      <w:r>
        <w:rPr>
          <w:color w:val="auto"/>
          <w:sz w:val="28"/>
        </w:rPr>
        <w:br/>
        <w:t>2025 год составили 18,0 млрд рублей или 100,0 % от запланированных годовых ассигнов</w:t>
      </w:r>
      <w:r>
        <w:rPr>
          <w:color w:val="auto"/>
          <w:sz w:val="28"/>
        </w:rPr>
        <w:t>аний</w:t>
      </w:r>
      <w:r>
        <w:rPr>
          <w:sz w:val="28"/>
        </w:rPr>
        <w:t xml:space="preserve"> (за 2024 год – 13,7 млрд рублей или 99,9 % от запланированных годовых ассигнований).</w:t>
      </w:r>
    </w:p>
    <w:p w:rsidR="00DD3C44" w:rsidRDefault="00DD3C44">
      <w:pPr>
        <w:tabs>
          <w:tab w:val="left" w:pos="7513"/>
        </w:tabs>
        <w:jc w:val="center"/>
        <w:rPr>
          <w:sz w:val="28"/>
        </w:rPr>
      </w:pPr>
    </w:p>
    <w:p w:rsidR="00DD3C44" w:rsidRDefault="00066E48">
      <w:pPr>
        <w:tabs>
          <w:tab w:val="left" w:pos="7513"/>
        </w:tabs>
        <w:jc w:val="center"/>
        <w:rPr>
          <w:sz w:val="28"/>
        </w:rPr>
      </w:pPr>
      <w:r>
        <w:rPr>
          <w:sz w:val="28"/>
        </w:rPr>
        <w:t>Исполнение социально-значимых расходов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"Образование"</w:t>
      </w:r>
      <w:r>
        <w:rPr>
          <w:sz w:val="28"/>
        </w:rPr>
        <w:t xml:space="preserve"> за 2025 год составило 24,5 млрд рублей или 98,5 % от утвержденных годовых ассигнований (ис</w:t>
      </w:r>
      <w:r>
        <w:rPr>
          <w:sz w:val="28"/>
        </w:rPr>
        <w:t>полнение за 2024 год составило 22,2 млрд рублей или 98,8 % от утвержденных годовых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"Культура, кинематография"</w:t>
      </w:r>
      <w:r>
        <w:rPr>
          <w:sz w:val="28"/>
        </w:rPr>
        <w:t xml:space="preserve"> составило </w:t>
      </w:r>
      <w:r>
        <w:rPr>
          <w:sz w:val="28"/>
        </w:rPr>
        <w:br/>
        <w:t>1,6 млрд рублей или 99,7 % от утвержденных годовых ассигнований (за 2024 год –  1,3 млрд рублей ил</w:t>
      </w:r>
      <w:r>
        <w:rPr>
          <w:sz w:val="28"/>
        </w:rPr>
        <w:t>и 93,1 % от утвержденных годовых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"Здравоохранение"</w:t>
      </w:r>
      <w:r>
        <w:rPr>
          <w:sz w:val="28"/>
        </w:rPr>
        <w:t xml:space="preserve"> составило 8,7 млрд рублей или </w:t>
      </w:r>
      <w:r>
        <w:rPr>
          <w:sz w:val="28"/>
        </w:rPr>
        <w:br/>
        <w:t>97,0 % от утвержденных годовых ассигнований (за 2024 год – 12,8 млрд рублей или 95,4 % от утвержденных годовых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Исполнение </w:t>
      </w:r>
      <w:r>
        <w:rPr>
          <w:sz w:val="28"/>
        </w:rPr>
        <w:t xml:space="preserve">по разделу </w:t>
      </w:r>
      <w:r>
        <w:rPr>
          <w:i/>
          <w:sz w:val="28"/>
        </w:rPr>
        <w:t>"Социальная политика"</w:t>
      </w:r>
      <w:r>
        <w:rPr>
          <w:sz w:val="28"/>
        </w:rPr>
        <w:t xml:space="preserve"> за отчетный период составило 21,4 млрд рублей или 99,2 % от утвержденных годовых ассигнований (за 2024 год – 17,8 млрд рублей или 98,9 % от утвержденных годовых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Меры социальной поддержки с учетом заявительног</w:t>
      </w:r>
      <w:r>
        <w:rPr>
          <w:sz w:val="28"/>
        </w:rPr>
        <w:t>о характера предоставляются в установленные сроки в необходимых объемах. Кредиторская задолженность по данным обязательствам отсутствует.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Расходы краевого бюджета за 2025 год на предоставление мер социальной поддержки населения составили 13,9 млрд рублей и</w:t>
      </w:r>
      <w:r>
        <w:rPr>
          <w:sz w:val="28"/>
        </w:rPr>
        <w:t>ли 99,5 % от годовых бюджетных ассигнований (за 2024 год – 11,5 млрд рублей или 99,1 % от годовых бюджетных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Исполнение по разделу </w:t>
      </w:r>
      <w:r>
        <w:rPr>
          <w:i/>
          <w:sz w:val="28"/>
        </w:rPr>
        <w:t>"Физическая культура и спорт"</w:t>
      </w:r>
      <w:r>
        <w:rPr>
          <w:sz w:val="28"/>
        </w:rPr>
        <w:t xml:space="preserve"> 2025 год составило </w:t>
      </w:r>
      <w:r>
        <w:rPr>
          <w:sz w:val="28"/>
        </w:rPr>
        <w:br/>
        <w:t>2,9 млрд рублей или 100,0 % от утвержденных годовых ассигнова</w:t>
      </w:r>
      <w:r>
        <w:rPr>
          <w:sz w:val="28"/>
        </w:rPr>
        <w:t xml:space="preserve">ний </w:t>
      </w:r>
      <w:r>
        <w:rPr>
          <w:sz w:val="28"/>
        </w:rPr>
        <w:br/>
        <w:t>(за 2024 год – 2,1 млрд рублей или 100,0 % от утвержденных годовых ассигнований).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реализации федеральной программы по модернизации школьных систем образования в 2025 году завершен капитальный ремонт и оснащение средствами обучения и воспитани</w:t>
      </w:r>
      <w:r>
        <w:rPr>
          <w:sz w:val="28"/>
        </w:rPr>
        <w:t xml:space="preserve">я 13 школ.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Кроме того, с 2025 года Камчатский край участвует в реализации федеральной программы по капитальным ремонтам детских садов, в рамках которой завершены ремонтные работы в 2 детских садах </w:t>
      </w:r>
      <w:proofErr w:type="spellStart"/>
      <w:r>
        <w:rPr>
          <w:sz w:val="28"/>
        </w:rPr>
        <w:t>Елизовского</w:t>
      </w:r>
      <w:proofErr w:type="spellEnd"/>
      <w:r>
        <w:rPr>
          <w:sz w:val="28"/>
        </w:rPr>
        <w:t xml:space="preserve"> муниципального района.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рамках федерального </w:t>
      </w:r>
      <w:r>
        <w:rPr>
          <w:sz w:val="28"/>
        </w:rPr>
        <w:t>проекта "</w:t>
      </w:r>
      <w:proofErr w:type="spellStart"/>
      <w:r>
        <w:rPr>
          <w:sz w:val="28"/>
        </w:rPr>
        <w:t>Профессионалитет</w:t>
      </w:r>
      <w:proofErr w:type="spellEnd"/>
      <w:r>
        <w:rPr>
          <w:sz w:val="28"/>
        </w:rPr>
        <w:t>" в 2025 году завершен ремонт 1 и 4 этажа общежития КГПОАУ "Камчатский политехнический техникум".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18 муниципальных образований приняли участие в реализации мероприятий регионального проекта "Формирование комфортной горо</w:t>
      </w:r>
      <w:r>
        <w:rPr>
          <w:sz w:val="28"/>
        </w:rPr>
        <w:t xml:space="preserve">дской среды" национального проекта "Инфраструктура для жизни". По итогам 2025 года благоустроено 13 дворовых и 37 общественных территорий. В рамках </w:t>
      </w:r>
      <w:r>
        <w:rPr>
          <w:sz w:val="28"/>
        </w:rPr>
        <w:br/>
        <w:t>II Всероссийского конкурса лучших проектов создания комфортной городской среды среди субъектов ДФО завершен</w:t>
      </w:r>
      <w:r>
        <w:rPr>
          <w:sz w:val="28"/>
        </w:rPr>
        <w:t xml:space="preserve">о благоустройство масштабных проектов "Спортивно-рекреационный парк "Простоквашино" г. Елизово" и "Благоустройство </w:t>
      </w:r>
      <w:proofErr w:type="spellStart"/>
      <w:r>
        <w:rPr>
          <w:sz w:val="28"/>
        </w:rPr>
        <w:t>Вилючинского</w:t>
      </w:r>
      <w:proofErr w:type="spellEnd"/>
      <w:r>
        <w:rPr>
          <w:sz w:val="28"/>
        </w:rPr>
        <w:t xml:space="preserve"> проспекта (2 этап, 3 и 4 очередь)" в г. </w:t>
      </w:r>
      <w:proofErr w:type="spellStart"/>
      <w:r>
        <w:rPr>
          <w:sz w:val="28"/>
        </w:rPr>
        <w:t>Вилючинск</w:t>
      </w:r>
      <w:proofErr w:type="spellEnd"/>
      <w:r>
        <w:rPr>
          <w:sz w:val="28"/>
        </w:rPr>
        <w:t xml:space="preserve">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реализации мероприятия "Благоустройство дальневосточных дворов (не менее 8</w:t>
      </w:r>
      <w:r>
        <w:rPr>
          <w:sz w:val="28"/>
        </w:rPr>
        <w:t xml:space="preserve"> дворовых территорий) в 2025 году" приняли участие три муниципальных образования. Благоустроено восемь дворовых территорий (три в Петропавловск-Камчатском городском округе, три в </w:t>
      </w:r>
      <w:proofErr w:type="spellStart"/>
      <w:r>
        <w:rPr>
          <w:sz w:val="28"/>
        </w:rPr>
        <w:t>Елизовском</w:t>
      </w:r>
      <w:proofErr w:type="spellEnd"/>
      <w:r>
        <w:rPr>
          <w:sz w:val="28"/>
        </w:rPr>
        <w:t xml:space="preserve"> городском поселении, два в </w:t>
      </w:r>
      <w:proofErr w:type="spellStart"/>
      <w:r>
        <w:rPr>
          <w:sz w:val="28"/>
        </w:rPr>
        <w:t>Мильковском</w:t>
      </w:r>
      <w:proofErr w:type="spellEnd"/>
      <w:r>
        <w:rPr>
          <w:sz w:val="28"/>
        </w:rPr>
        <w:t xml:space="preserve"> муниципальном округе).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</w:t>
      </w:r>
      <w:r>
        <w:rPr>
          <w:sz w:val="28"/>
        </w:rPr>
        <w:t>амках комплексной программы "Город 20/30" в 2025 году реализованы семь проектов благоустройства.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По договору социального найма, приняты решения о предоставлении социальной выплат 12 многодетным семьям на общую сумму 140,7 млн рублей; </w:t>
      </w:r>
      <w:r>
        <w:rPr>
          <w:sz w:val="28"/>
        </w:rPr>
        <w:br/>
        <w:t>9 семьям с детьми-инв</w:t>
      </w:r>
      <w:r>
        <w:rPr>
          <w:sz w:val="28"/>
        </w:rPr>
        <w:t>алидами на общую сумму 69,8 млн рублей.</w:t>
      </w:r>
    </w:p>
    <w:p w:rsidR="00DD3C44" w:rsidRDefault="00066E48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ab/>
        <w:t xml:space="preserve">В рамках мероприятия по обеспечению жильем молодых семей и комплекса процессных мероприятий "Развитие системы ипотечного жилищного кредитования в Камчатском крае" в 2025 году молодым семьям выданы 77 свидетельств о </w:t>
      </w:r>
      <w:r>
        <w:rPr>
          <w:sz w:val="28"/>
        </w:rPr>
        <w:t xml:space="preserve">праве на выплату за счёт бюджетных средств на сумму 261,5 млн рублей, 19 семей стали обладателями приказов на получение бюджетных средств на первоначальный взнос </w:t>
      </w:r>
      <w:r>
        <w:rPr>
          <w:sz w:val="28"/>
        </w:rPr>
        <w:lastRenderedPageBreak/>
        <w:t>по ипотечному кредиту на сумму 54,9 млн рублей, 6 учителей общеобразовательных учреждений в во</w:t>
      </w:r>
      <w:r>
        <w:rPr>
          <w:sz w:val="28"/>
        </w:rPr>
        <w:t>зрасте до 35 лет получили социальные выплаты на уплату первоначального взноса по ипотечному жилищному кредиту на общую сумму</w:t>
      </w:r>
      <w:r>
        <w:rPr>
          <w:sz w:val="28"/>
        </w:rPr>
        <w:br/>
        <w:t>11,1 млн рублей, выдан 1 приказ на социальную выплату на уплату первоначального взноса по ипотечному жилищному кредиту на строитель</w:t>
      </w:r>
      <w:r>
        <w:rPr>
          <w:sz w:val="28"/>
        </w:rPr>
        <w:t>ство индивидуального жилого дома на сумму 2,6 млн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улучшения спортивной инфраструктуры, в Усть-Большерецком муниципальном округе завершено возведение модульного спортивного зала для МБОУ "</w:t>
      </w:r>
      <w:proofErr w:type="spellStart"/>
      <w:r>
        <w:rPr>
          <w:sz w:val="28"/>
        </w:rPr>
        <w:t>Усть-Большерецкая</w:t>
      </w:r>
      <w:proofErr w:type="spellEnd"/>
      <w:r>
        <w:rPr>
          <w:sz w:val="28"/>
        </w:rPr>
        <w:t xml:space="preserve"> средняя общеобразовательная школа </w:t>
      </w:r>
      <w:r>
        <w:rPr>
          <w:sz w:val="28"/>
        </w:rPr>
        <w:t xml:space="preserve">№ 2".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в рамках обеспечения санаторно-курортным лечением за пределами Камчатского края по федеральным путевкам получили лечение 72 человека, из них 34 ребенка. В ООО ДЦ "Жемчужина Камчатки"</w:t>
      </w:r>
      <w:r>
        <w:rPr>
          <w:sz w:val="28"/>
        </w:rPr>
        <w:t xml:space="preserve"> за счет средств краевого бюджета получили лечение 77 пациентов, из них 27 детей.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Кроме этого, за счет средств регионального бюджета осуществляется долечивание (реабилитация) детей, в том числе детей с ограниченными возможностями здоровья, на базе санатори</w:t>
      </w:r>
      <w:r>
        <w:rPr>
          <w:sz w:val="28"/>
        </w:rPr>
        <w:t>я "Жемчужина Камчатки", где в 2025 году пролечено 24 ребенка.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2025 году услуги по реабилитации в АНО "Камчатский детский </w:t>
      </w:r>
      <w:proofErr w:type="spellStart"/>
      <w:r>
        <w:rPr>
          <w:sz w:val="28"/>
        </w:rPr>
        <w:t>нейрологопедический</w:t>
      </w:r>
      <w:proofErr w:type="spellEnd"/>
      <w:r>
        <w:rPr>
          <w:sz w:val="28"/>
        </w:rPr>
        <w:t xml:space="preserve"> центр", созданный для оказания комплексной услуги по </w:t>
      </w:r>
      <w:proofErr w:type="spellStart"/>
      <w:r>
        <w:rPr>
          <w:sz w:val="28"/>
        </w:rPr>
        <w:t>нейрологопедической</w:t>
      </w:r>
      <w:proofErr w:type="spellEnd"/>
      <w:r>
        <w:rPr>
          <w:sz w:val="28"/>
        </w:rPr>
        <w:t xml:space="preserve"> коррекции и реабилитации, профилактике </w:t>
      </w:r>
      <w:proofErr w:type="spellStart"/>
      <w:r>
        <w:rPr>
          <w:sz w:val="28"/>
        </w:rPr>
        <w:t>п</w:t>
      </w:r>
      <w:r>
        <w:rPr>
          <w:sz w:val="28"/>
        </w:rPr>
        <w:t>сихоречевых</w:t>
      </w:r>
      <w:proofErr w:type="spellEnd"/>
      <w:r>
        <w:rPr>
          <w:sz w:val="28"/>
        </w:rPr>
        <w:t xml:space="preserve"> нарушений у несовершеннолетних детей, в том числе детей-инвалидов, с использованием высокотехнологичных немедицинских аппаратных методик и технологических программ получили 92 ребенка, из них 52 ребенка из категории детей-инвалидов и детей с ог</w:t>
      </w:r>
      <w:r>
        <w:rPr>
          <w:sz w:val="28"/>
        </w:rPr>
        <w:t>раниченными возможностями здоровья.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Охват детей в возрасте 15-17 лет профилактическими медицинскими осмотрами с целью сохранения их репродуктивного здоровья составляет 76,7%.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Приказом Министерства здравоохранения Камчатского края план по диспансеризации оп</w:t>
      </w:r>
      <w:r>
        <w:rPr>
          <w:sz w:val="28"/>
        </w:rPr>
        <w:t>ределённых групп взрослого населения по краю на 2025 год края был определен 124 679 человек. Дополнительным приказом в план по краю, внесены изменения – 73 882 человека. По состоянию на 25.12.2025 план по диспансеризации определённых групп взрослого населе</w:t>
      </w:r>
      <w:r>
        <w:rPr>
          <w:sz w:val="28"/>
        </w:rPr>
        <w:t xml:space="preserve">ния по краю выполнен на 84,3% – </w:t>
      </w:r>
      <w:r>
        <w:rPr>
          <w:sz w:val="28"/>
        </w:rPr>
        <w:br/>
        <w:t>62 291 человек. Не выполнен план по диспансеризации определенных групп взрослого населения по краю в шести учреждениях здравоохранения. План по профилактическим осмотрам взрослого населения – 18 564 человек, выполнение план</w:t>
      </w:r>
      <w:r>
        <w:rPr>
          <w:sz w:val="28"/>
        </w:rPr>
        <w:t>а на 25.12.2025 – 79,9% (14 826 человек).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Оказана медицинская помощь женщинам в период беременности, родов и в послеродовой период, в том числе за счет средств родовых сертификатов </w:t>
      </w:r>
      <w:r>
        <w:rPr>
          <w:sz w:val="28"/>
        </w:rPr>
        <w:br/>
        <w:t>15,9 тыс. человек.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Укомплектованность медицинских организаций, оказывающих</w:t>
      </w:r>
      <w:r>
        <w:rPr>
          <w:sz w:val="28"/>
        </w:rPr>
        <w:t xml:space="preserve"> медицинскую помощь детям врачами-педиатрами по состоянию на 01.01.2026 составила 79,0%. Штатным расписанием предусмотрено 201 штатных должностей, число занятых должностей 158, из них физических лиц 134 человека.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в Камчатский край прибыло 24 в</w:t>
      </w:r>
      <w:r>
        <w:rPr>
          <w:sz w:val="28"/>
        </w:rPr>
        <w:t>рача-педиатра, убыло – 12.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Камчатском крае имеется дефицит врачей и среднего медицинского </w:t>
      </w:r>
      <w:r>
        <w:rPr>
          <w:sz w:val="28"/>
        </w:rPr>
        <w:lastRenderedPageBreak/>
        <w:t>персонала. Основными причинами снижения укомплектованности медицинских организаций необходимым количеством медицинских работников являются отдаленность региона, отд</w:t>
      </w:r>
      <w:r>
        <w:rPr>
          <w:sz w:val="28"/>
        </w:rPr>
        <w:t>аленность районных больниц и их структурных подразделений, отсутствие в регионе высшего медицинского учебного заведения, естественный отток населения в связи с выездом на постоянное место жительства за пределы Камчатского края, а также выход медицинских ра</w:t>
      </w:r>
      <w:r>
        <w:rPr>
          <w:sz w:val="28"/>
        </w:rPr>
        <w:t>ботников на заслуженный отдых (40,7% кадров имеют пенсионный возраст).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С целью привлечения медицинских работников в государственные учреждения здравоохранения региона Камчатским краем предоставляются различные меры поддержки. Медицинским работникам, приняв</w:t>
      </w:r>
      <w:r>
        <w:rPr>
          <w:sz w:val="28"/>
        </w:rPr>
        <w:t>шим решение трудиться в Камчатском крае, предоставляются единовременные выплаты (выплаты по программе "Земский доктор/фельдшер" для работников, устраивающихся в сельские населенные пункты и города с населением до 50 тыс. человек, 1 млн рублей врачам дефици</w:t>
      </w:r>
      <w:r>
        <w:rPr>
          <w:sz w:val="28"/>
        </w:rPr>
        <w:t xml:space="preserve">тных специальностей, 300 тыс. рублей врачам иных специальностей, 200 тыс. рублей фельдшерам), компенсация расходов на </w:t>
      </w:r>
      <w:proofErr w:type="spellStart"/>
      <w:r>
        <w:rPr>
          <w:sz w:val="28"/>
        </w:rPr>
        <w:t>найм</w:t>
      </w:r>
      <w:proofErr w:type="spellEnd"/>
      <w:r>
        <w:rPr>
          <w:sz w:val="28"/>
        </w:rPr>
        <w:t xml:space="preserve"> жилых помещений медицинским работникам, предоставление служебного жилья.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На территории Камчатского края подготовка специалистов средн</w:t>
      </w:r>
      <w:r>
        <w:rPr>
          <w:sz w:val="28"/>
        </w:rPr>
        <w:t>его звена в области образования "Здравоохранение и медицинские науки" осуществляется государственным бюджетным профессиональным образовательным учреждением Камчатского края "Камчатский медицинский колледж". В 2025 году Камчатский медицинский колледж выпуст</w:t>
      </w:r>
      <w:r>
        <w:rPr>
          <w:sz w:val="28"/>
        </w:rPr>
        <w:t>ил 256 специалистов со средним медицинским образованием.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регионального проекта "Совершенствование экстренной медицинской помощи (Камчатский край)" в целях обеспечения доступности экстренной медицинской помощи реализуются мероприятия по развитию са</w:t>
      </w:r>
      <w:r>
        <w:rPr>
          <w:sz w:val="28"/>
        </w:rPr>
        <w:t xml:space="preserve">нитарной авиации.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2025 году КГКУЗ "Камчатский территориальный центр медицины катастроф" осуществил всего 453 вылета, эвакуировано 632 человека, из них </w:t>
      </w:r>
      <w:r>
        <w:rPr>
          <w:sz w:val="28"/>
        </w:rPr>
        <w:br/>
        <w:t>71 ребенок (в том числе за счет средств федерального бюджета осуществлено 378 вылетов, эвакуировано 5</w:t>
      </w:r>
      <w:r>
        <w:rPr>
          <w:sz w:val="28"/>
        </w:rPr>
        <w:t xml:space="preserve">22 человека, из них 51 ребенок). С использованием самолетов 110 пациентов.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Региональной программы "Модернизация первичного звена здравоохранения Камчатского края", утвержденной распоряжением Правительства Камчатского края от 15.12.2020 № 622-РП в</w:t>
      </w:r>
      <w:r>
        <w:rPr>
          <w:sz w:val="28"/>
        </w:rPr>
        <w:t xml:space="preserve"> 2025 году запланированы мероприятия по проведению капитального ремонта, приобретению и монтажу быстровозводимой модульной конструкции.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целях реализации мероприятий Региональной программы, запланированных на 2025 год: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– по капитальному ремонту запланиро</w:t>
      </w:r>
      <w:r>
        <w:rPr>
          <w:sz w:val="28"/>
        </w:rPr>
        <w:t>вано 4 объекта. По всем объектам контракты заключены на проведение капитального ремонта, из них в 2 объектах работы закончены и оплачены в полном объеме, в 2 учреждениях здравоохранения ремонтные работы продолжаются;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– по приобретению и монтажу быстровозво</w:t>
      </w:r>
      <w:r>
        <w:rPr>
          <w:sz w:val="28"/>
        </w:rPr>
        <w:t xml:space="preserve">димой модульной конструкции запланирован объект под размещение врачебной амбулатории. Контракт заключен, </w:t>
      </w:r>
      <w:r>
        <w:rPr>
          <w:sz w:val="28"/>
        </w:rPr>
        <w:lastRenderedPageBreak/>
        <w:t>ведутся работы по возведению быстровозводимой модульной конструкции.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в Камчатском крае продолжилось внедрение системы долговременного ухода</w:t>
      </w:r>
      <w:r>
        <w:rPr>
          <w:sz w:val="28"/>
        </w:rPr>
        <w:t xml:space="preserve"> за гражданами пожилого возраста и инвалидами, нуждающимися в уходе. В рамках реализации Плана мероприятий в штат восьми комплексных центров социального обслуживания приняты по срочным трудовым договорам 154 помощника по уходу, которые предоставили социаль</w:t>
      </w:r>
      <w:r>
        <w:rPr>
          <w:sz w:val="28"/>
        </w:rPr>
        <w:t>ные услуги по уходу 217 гражданам пожилого возраста и инвалидам.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оздоровлено 1 424 ребенка, находящихся в трудной жизненной ситуации, а также воспитаннико</w:t>
      </w:r>
      <w:r>
        <w:rPr>
          <w:sz w:val="28"/>
        </w:rPr>
        <w:t xml:space="preserve">в подведомственных Министерству социального благополучия и семейной политики Камчатского края учреждений для детей-сирот и детей, оставшихся без попечения родителей в загородных лагерях и лагерях дневного пребывания в учреждениях социального обслуживания.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национального проекта "Семья" в Камчатском крае в 2025 году меры социальной поддержки получили 7244 семьи, на данные цели израсходовано более 481,9 млн рублей. В целях повышения рождаемости и обеспечения роста численности населения в Камчатском к</w:t>
      </w:r>
      <w:r>
        <w:rPr>
          <w:sz w:val="28"/>
        </w:rPr>
        <w:t xml:space="preserve">рае семьям с детьми предоставляются различные денежные выплаты.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Ежегодно размеры денежных выплат, предоставляемых семьям с детьми за счет средств краевого бюджета, индексируются. С 01.01.2025 в среднем размер индексации составил 4,5 %.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Всего в 2025 году </w:t>
      </w:r>
      <w:r>
        <w:rPr>
          <w:sz w:val="28"/>
        </w:rPr>
        <w:t>денежные выплаты получали более 13 тысяч семей Камчатского края на общую сумму 1 129,9 млн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крае ежегодно увеличивается число многодетных семей, так в 2024 году в регионе проживало 5,7 тысяч многодетных семей, на 31.12.2025 число таких семей соста</w:t>
      </w:r>
      <w:r>
        <w:rPr>
          <w:sz w:val="28"/>
        </w:rPr>
        <w:t>вляло 6,2 тысяч семей.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Камчатском крае 10 мер социальной поддержки семей с детьми, таких как ежегодная выплата многодетным семьям на приобретение школьно-письменных принадлежностей детям из многодетных семей, ежегодная выплата на новогодние подарки, выпл</w:t>
      </w:r>
      <w:r>
        <w:rPr>
          <w:sz w:val="28"/>
        </w:rPr>
        <w:t xml:space="preserve">ата на лекарственное обеспечение детям до 6 лет и родителям, оформление удостоверения многодетной семьи и другие предоставляются в </w:t>
      </w:r>
      <w:proofErr w:type="spellStart"/>
      <w:r>
        <w:rPr>
          <w:sz w:val="28"/>
        </w:rPr>
        <w:t>проактивном</w:t>
      </w:r>
      <w:proofErr w:type="spellEnd"/>
      <w:r>
        <w:rPr>
          <w:sz w:val="28"/>
        </w:rPr>
        <w:t xml:space="preserve"> режиме. Всего в 2025 году в </w:t>
      </w:r>
      <w:proofErr w:type="spellStart"/>
      <w:r>
        <w:rPr>
          <w:sz w:val="28"/>
        </w:rPr>
        <w:t>беззаявительном</w:t>
      </w:r>
      <w:proofErr w:type="spellEnd"/>
      <w:r>
        <w:rPr>
          <w:sz w:val="28"/>
        </w:rPr>
        <w:t xml:space="preserve"> порядке меры поддержки предоставлены более 7 тысячам семей с детьми к</w:t>
      </w:r>
      <w:r>
        <w:rPr>
          <w:sz w:val="28"/>
        </w:rPr>
        <w:t xml:space="preserve">рая.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Камчатском крае система опеки и попечительства функционирует в рамках единой системы социальной защиты. На начало 2026 года, в регионе зарегистрировано 1164 детей-сирот и детей, оставшихся без попечения родителей (далее – дети-сироты). Из них 87 % </w:t>
      </w:r>
      <w:r>
        <w:rPr>
          <w:sz w:val="28"/>
        </w:rPr>
        <w:t>или 1007 детей воспитываются в семьях граждан, что подчеркивает приоритетное право детей жить и расти в семейной обстановке.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Ежемесячное содержание детей-сирот, находящихся на воспитании в замещающих семьях, установлено в размере прожиточного минимума для </w:t>
      </w:r>
      <w:r>
        <w:rPr>
          <w:sz w:val="28"/>
        </w:rPr>
        <w:t>детей, с учетом возрастных коэффициентов.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Эту поддержку получают 1007 подопечных и приемных детей, а 490 приемных родителей получают ежемесячное денежное вознаграждение.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 Количество организаций для детей-сирот сократилось до пяти, в которых на данный момен</w:t>
      </w:r>
      <w:r>
        <w:rPr>
          <w:sz w:val="28"/>
        </w:rPr>
        <w:t xml:space="preserve">т проживают 145 воспитанников, что на 13 % меньше в сравнении с </w:t>
      </w:r>
      <w:r>
        <w:rPr>
          <w:sz w:val="28"/>
        </w:rPr>
        <w:lastRenderedPageBreak/>
        <w:t>аналогичным периодом 2024 года.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рамках приоритетного направления по решению жилищного вопроса детей-сирот в 2025 году были предприняты значимые меры, благодаря которым </w:t>
      </w:r>
      <w:r>
        <w:rPr>
          <w:sz w:val="28"/>
        </w:rPr>
        <w:br/>
      </w:r>
      <w:r>
        <w:rPr>
          <w:sz w:val="28"/>
        </w:rPr>
        <w:t>151 ребенок-сирота получил собственное жилье, что на 29 % (или на 34 человека) превышает запланированный показатель в 117 человек. Из общего числа обеспеченных жильем 147 человек получили жилые помещения, а 4 человека успешно воспользовались государственны</w:t>
      </w:r>
      <w:r>
        <w:rPr>
          <w:sz w:val="28"/>
        </w:rPr>
        <w:t>ми жилищными сертификатами.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в Камчатском крае сохранена действующая система мер социальной поддержки для населения, снижения достигнутого ранее уровня мер социальной поддержки не допущено.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2025 году меры социальной поддержки отдельным категор</w:t>
      </w:r>
      <w:r>
        <w:rPr>
          <w:sz w:val="28"/>
        </w:rPr>
        <w:t>иям граждан, установленным законодательством Камчатского края, предоставлены 36 480 ветеранам труда, 44 труженикам тыла, 14 участникам локальных войн и вооруженных конфликтов и членов их семей, 14 инвалидам ВОВ и боевых действий и лицам, награжденным знако</w:t>
      </w:r>
      <w:r>
        <w:rPr>
          <w:sz w:val="28"/>
        </w:rPr>
        <w:t>м "Жителю блокадного Ленинграда" и членам их семей, по оплате ими за жилое помещение и коммунальные услуги, 304 реабилитированным лицам и лицам, признанным пострадавшими от политических репрессий и членам их семей, 930 "детям войны", 613 донорам крови и ее</w:t>
      </w:r>
      <w:r>
        <w:rPr>
          <w:sz w:val="28"/>
        </w:rPr>
        <w:t xml:space="preserve"> компонентов в Камчатском крае.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Продолжено предоставление мер социальной поддержки по оплате за жилищно-коммунальные услуги специалистам, проживающим и работающим в сельской местности. Получателями мер социальной поддержки являются 7 788 специалистов и чл</w:t>
      </w:r>
      <w:r>
        <w:rPr>
          <w:sz w:val="28"/>
        </w:rPr>
        <w:t>енов их семей. На эти цели в 2025 году направлено 228,8 млн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Меры социальной поддержки по оплате за жилищно-коммунальные услуги отдельным категориям граждан получили 14 894 человек.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Предоставлены единовременные выплаты 12 781 гражданам в связи с про</w:t>
      </w:r>
      <w:r>
        <w:rPr>
          <w:sz w:val="28"/>
        </w:rPr>
        <w:t>ведением мероприятий, посвященных дням воинской славы России, праздничным, памятным и иным значимым датам России и Камчатского края.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целях повышения уровня и качества жизни неработающих пенсионеров, в том числе увеличения размера их пенсии, неработающим </w:t>
      </w:r>
      <w:r>
        <w:rPr>
          <w:sz w:val="28"/>
        </w:rPr>
        <w:t>получателям пенсий выплачивается региональная доплата к пенсии до величины прожиточного минимума, которая утверждена в 2025 году в 26 841,0 рублей. Региональную социальную доплату к пенсии в 2025 году ежемесячно получали более 15,8 тысяч пенсионеров, средн</w:t>
      </w:r>
      <w:r>
        <w:rPr>
          <w:sz w:val="28"/>
        </w:rPr>
        <w:t>ий размер составил 7,5 тыс.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Одной из мер социальной поддержки граждан, оказавшихся в трудной жизненной ситуации, является оказание единовременной материальной помощи. В 2025 году материальную помощь получили более 2606 граждан, оказавшихся в трудно</w:t>
      </w:r>
      <w:r>
        <w:rPr>
          <w:sz w:val="28"/>
        </w:rPr>
        <w:t xml:space="preserve">й жизненной ситуации, в том числе граждане пожилого возраста и семьи с детьми.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По итогам 2025 года органами местного самоуправления в Камчатском крае заключено 477 социальных контрактов по следующим направлениям: 188 на поиск работы, 221 открытие ИП (орга</w:t>
      </w:r>
      <w:r>
        <w:rPr>
          <w:sz w:val="28"/>
        </w:rPr>
        <w:t xml:space="preserve">низация </w:t>
      </w:r>
      <w:proofErr w:type="spellStart"/>
      <w:r>
        <w:rPr>
          <w:sz w:val="28"/>
        </w:rPr>
        <w:t>самозанятости</w:t>
      </w:r>
      <w:proofErr w:type="spellEnd"/>
      <w:r>
        <w:rPr>
          <w:sz w:val="28"/>
        </w:rPr>
        <w:t xml:space="preserve">), 5 на ведение личного подсобного хозяйства, 63 на преодоление трудной жизненной ситуации. Практически половина социальных контрактов заключены с малоимущими гражданами, </w:t>
      </w:r>
      <w:r>
        <w:rPr>
          <w:sz w:val="28"/>
        </w:rPr>
        <w:lastRenderedPageBreak/>
        <w:t>имеющими несовершеннолетних детей – 49,3 %. Общая численность гр</w:t>
      </w:r>
      <w:r>
        <w:rPr>
          <w:sz w:val="28"/>
        </w:rPr>
        <w:t>аждан, охваченных государственной социальной помощью на основании социального контракта, составила 1039 человек, на эти цели направлено 109 041,6 тыс. рублей, из них за счет средств федерального бюджета – 101 628,0 тыс.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подпрограммы "Стиму</w:t>
      </w:r>
      <w:r>
        <w:rPr>
          <w:sz w:val="28"/>
        </w:rPr>
        <w:t xml:space="preserve">лирование развития жилищного строительства в Камчатском крае" предоставлена субсидия </w:t>
      </w:r>
      <w:proofErr w:type="spellStart"/>
      <w:r>
        <w:rPr>
          <w:sz w:val="28"/>
        </w:rPr>
        <w:t>Вилючинскому</w:t>
      </w:r>
      <w:proofErr w:type="spellEnd"/>
      <w:r>
        <w:rPr>
          <w:sz w:val="28"/>
        </w:rPr>
        <w:t xml:space="preserve"> городскому округу на реализацию мероприятия по сносу объектов капитального строительства, в том числе </w:t>
      </w:r>
      <w:proofErr w:type="spellStart"/>
      <w:r>
        <w:rPr>
          <w:sz w:val="28"/>
        </w:rPr>
        <w:t>руинированных</w:t>
      </w:r>
      <w:proofErr w:type="spellEnd"/>
      <w:r>
        <w:rPr>
          <w:sz w:val="28"/>
        </w:rPr>
        <w:t xml:space="preserve"> зданий в целях создания безопасной среды в</w:t>
      </w:r>
      <w:r>
        <w:rPr>
          <w:sz w:val="28"/>
        </w:rPr>
        <w:t xml:space="preserve"> размере 10,0 млн рублей, снесено 1 здание, субсидия освоена на сумму 9,97 млн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КПМ "Актуализация документов территориального планирования и нормативной документации в сфере градостроительства" 2025 году на актуализацию нормативной документ</w:t>
      </w:r>
      <w:r>
        <w:rPr>
          <w:sz w:val="28"/>
        </w:rPr>
        <w:t xml:space="preserve">ации в сфере градостроительства предусмотрено </w:t>
      </w:r>
      <w:r>
        <w:rPr>
          <w:sz w:val="28"/>
        </w:rPr>
        <w:br/>
        <w:t>150,0 тыс. рублей.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Региональные нормативы градостроительного проектирования Камчатского края актуализированы и приведены в соответствие с действующим федеральным и региональным законодательством. Работы выполн</w:t>
      </w:r>
      <w:r>
        <w:rPr>
          <w:sz w:val="28"/>
        </w:rPr>
        <w:t>ены и оплачены в полном объеме. В рамках программы "Цифровая трансформация в Камчатском крае" расходы на государственную информационную систему обеспечения градостроительной деятельности Камчатского края профинансировано и освоено 20,8 млн рублей.</w:t>
      </w:r>
      <w:r>
        <w:rPr>
          <w:sz w:val="28"/>
        </w:rPr>
        <w:tab/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</w:t>
      </w:r>
      <w:r>
        <w:rPr>
          <w:sz w:val="28"/>
        </w:rPr>
        <w:t>х мероприятий государственной программы Камчатского края "Развитие культуры в Камчатском крае" в части реализации регионального проекта "Семейные ценности и инфраструктура культуры" национального проекта "Семья" выполнен капитальный ремонт кровли МБУК "Кор</w:t>
      </w:r>
      <w:r>
        <w:rPr>
          <w:sz w:val="28"/>
        </w:rPr>
        <w:t xml:space="preserve">якская центральная библиотека им. </w:t>
      </w:r>
      <w:proofErr w:type="spellStart"/>
      <w:r>
        <w:rPr>
          <w:sz w:val="28"/>
        </w:rPr>
        <w:t>Кецая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Кеккетына</w:t>
      </w:r>
      <w:proofErr w:type="spellEnd"/>
      <w:r>
        <w:rPr>
          <w:sz w:val="28"/>
        </w:rPr>
        <w:t>", а также начаты двухлетние мероприятия по капитальным ремонтам зданий МБУК "</w:t>
      </w:r>
      <w:proofErr w:type="spellStart"/>
      <w:r>
        <w:rPr>
          <w:sz w:val="28"/>
        </w:rPr>
        <w:t>Тигильский</w:t>
      </w:r>
      <w:proofErr w:type="spellEnd"/>
      <w:r>
        <w:rPr>
          <w:sz w:val="28"/>
        </w:rPr>
        <w:t xml:space="preserve"> районный центр досуга" и </w:t>
      </w:r>
      <w:r>
        <w:rPr>
          <w:sz w:val="28"/>
        </w:rPr>
        <w:br/>
        <w:t>МБУК "</w:t>
      </w:r>
      <w:proofErr w:type="spellStart"/>
      <w:r>
        <w:rPr>
          <w:sz w:val="28"/>
        </w:rPr>
        <w:t>Быстринский</w:t>
      </w:r>
      <w:proofErr w:type="spellEnd"/>
      <w:r>
        <w:rPr>
          <w:sz w:val="28"/>
        </w:rPr>
        <w:t xml:space="preserve"> районный этнографический музей".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Состоялось открытие модельных библиотек н</w:t>
      </w:r>
      <w:r>
        <w:rPr>
          <w:sz w:val="28"/>
        </w:rPr>
        <w:t>а базе центральной детской библиотеки им. Г.Г. Поротова МБУК "Централизованная библиотечная система" и центральной детской библиотеки МБУ "</w:t>
      </w:r>
      <w:proofErr w:type="spellStart"/>
      <w:r>
        <w:rPr>
          <w:sz w:val="28"/>
        </w:rPr>
        <w:t>Мильковская</w:t>
      </w:r>
      <w:proofErr w:type="spellEnd"/>
      <w:r>
        <w:rPr>
          <w:sz w:val="28"/>
        </w:rPr>
        <w:t xml:space="preserve"> библиотечная система". Учреждения оснащены оргтехникой, библиотечной специализированной мебелью, оборудов</w:t>
      </w:r>
      <w:r>
        <w:rPr>
          <w:sz w:val="28"/>
        </w:rPr>
        <w:t>анием для лиц с ОВЗ, мультимедийным оборудованием, пополнен книжный фонд.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рамках модернизации музеев закуплены специализированные музейные витрины, манекены, подставки для экспонатов, компьютерная и оргтехника для </w:t>
      </w:r>
      <w:r>
        <w:rPr>
          <w:sz w:val="28"/>
        </w:rPr>
        <w:br/>
        <w:t>КГБУ "Камчатский краевой объединенный м</w:t>
      </w:r>
      <w:r>
        <w:rPr>
          <w:sz w:val="28"/>
        </w:rPr>
        <w:t>узей". Модернизирована материально-техническая база КГБУ "Камчатское концертно-филармоническое объединение". Приобретено различное световое, звуковое и сценическое оборудование.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Произведено переоснащение 2 муниципальных библиотек по модельному стандарту (Ц</w:t>
      </w:r>
      <w:r>
        <w:rPr>
          <w:sz w:val="28"/>
        </w:rPr>
        <w:t>ентральная детская библиотека Петропавловск-Камчатского городского округа и детская библиотека с. Мильково). Контрактация составляет 100%, кассовое освоение 100%. Работы на объектах завершены, библиотеки открыты, учреждение оснащено мультимедийным оборудов</w:t>
      </w:r>
      <w:r>
        <w:rPr>
          <w:sz w:val="28"/>
        </w:rPr>
        <w:t>анием, оргтехникой, мебелью оборудованием для лиц с ОВЗ, пополнен книжный фонд.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рамках модернизации музеев закуплены специализированные музейные </w:t>
      </w:r>
      <w:r>
        <w:rPr>
          <w:sz w:val="28"/>
        </w:rPr>
        <w:lastRenderedPageBreak/>
        <w:t>витрины, манекены, подставки для экспонатов, компьютерная и оргтехника для КГБУ "Камчатский краевой объединён</w:t>
      </w:r>
      <w:r>
        <w:rPr>
          <w:sz w:val="28"/>
        </w:rPr>
        <w:t>ный музей". Заключено 12 контрактов, контрактация составила 100%.  По состоянию на 01.01.2026 кассовое освоение составляет 100%, всё приобретённое оборудование принято и оплачено.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По состоянию на 01.01.2026 общая контрактация ассигнований, предусмотренных </w:t>
      </w:r>
      <w:r>
        <w:rPr>
          <w:sz w:val="28"/>
        </w:rPr>
        <w:t>на 2025 год, а также кассовое освоение составляют 100%. Все мероприятия, окончание которых запланировано на 2025 год, завершены.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За счет средств федерального и краевого бюджетов закуплено 3 710 экземпляров книг для детей и взрослых (художественная, учебная</w:t>
      </w:r>
      <w:r>
        <w:rPr>
          <w:sz w:val="28"/>
        </w:rPr>
        <w:t>, научно-популярная литература, справочные и краеведческий издания).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По направлению "Государственная поддержка отрасли культуры" предусмотрено 1,0 млн рублей на поощрение лучших работников сельских учреждений культуры и лучших сельских учреждений культуры.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  В рамках регионального проекта по направлению "Обеспечение развития и укрепления материально-технической базы домов культуры в населенных пунктах с числом жителей до 50 тысяч человек" приобретено различное звуковое и световое оборудование, компьютерная </w:t>
      </w:r>
      <w:r>
        <w:rPr>
          <w:sz w:val="28"/>
        </w:rPr>
        <w:t>и оргтехника, мебель для 16-ти культурно-досуговых учреждений.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феврале 2025 года проведен Форум "Создание доступной и инклюзивной среды в учреждениях культуры".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культурно-образовательном фестивале профессиональных и любительских театров "ПРО.ЛЮБОВЬ.ТЕА</w:t>
      </w:r>
      <w:r>
        <w:rPr>
          <w:sz w:val="28"/>
        </w:rPr>
        <w:t xml:space="preserve">ТР" состоялись показы спектаклей, приглашенных театральных любительских коллективов, мастер-классы, лекции и семинары для участников любительских студий, театральная игра "Импровизационный БАТЛ". В мероприятии приняли участие школьники из города </w:t>
      </w:r>
      <w:proofErr w:type="spellStart"/>
      <w:r>
        <w:rPr>
          <w:sz w:val="28"/>
        </w:rPr>
        <w:t>Вилючинска</w:t>
      </w:r>
      <w:proofErr w:type="spellEnd"/>
      <w:r>
        <w:rPr>
          <w:sz w:val="28"/>
        </w:rPr>
        <w:t xml:space="preserve">, села Мильково и города Петропавловска-Камчатского.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июне 2025 года были организованы гастроли Московского Губернского театра. Показано 8 спектаклей в городах Петропавловск-Камчатский и </w:t>
      </w:r>
      <w:proofErr w:type="spellStart"/>
      <w:r>
        <w:rPr>
          <w:sz w:val="28"/>
        </w:rPr>
        <w:t>Вилючинск</w:t>
      </w:r>
      <w:proofErr w:type="spellEnd"/>
      <w:r>
        <w:rPr>
          <w:sz w:val="28"/>
        </w:rPr>
        <w:t xml:space="preserve">. 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сентябре 2025 года проведен фестиваль "Эхо БДФ Камчат</w:t>
      </w:r>
      <w:r>
        <w:rPr>
          <w:sz w:val="28"/>
        </w:rPr>
        <w:t>ка", в котором приняли участие более 6 тысяч человек.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Проведено 12 краевых конкурсов и фестивалей, в которых приняли участие более 2,5 тысяч детей.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Обеспечены организация и проведение торжественных мероприятий, посвященных праздничным, памятным и юбилейным</w:t>
      </w:r>
      <w:r>
        <w:rPr>
          <w:sz w:val="28"/>
        </w:rPr>
        <w:t xml:space="preserve"> датам, значимым для России и Камчатского края, а также иных </w:t>
      </w:r>
      <w:proofErr w:type="spellStart"/>
      <w:r>
        <w:rPr>
          <w:sz w:val="28"/>
        </w:rPr>
        <w:t>имиджевых</w:t>
      </w:r>
      <w:proofErr w:type="spellEnd"/>
      <w:r>
        <w:rPr>
          <w:sz w:val="28"/>
        </w:rPr>
        <w:t xml:space="preserve"> и торжественных мероприятий.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С 4 по 18 августа 2025 года в Камчатском крае проведен Всероссийский молодежный экологический форум "Экосистема. Заповедный край" (далее – Форум), объединив</w:t>
      </w:r>
      <w:r>
        <w:rPr>
          <w:sz w:val="28"/>
        </w:rPr>
        <w:t>ший 600 участников из 89 регионов Российской Федерации, а также представителей из дружественных стран в возрасте от 14 до 35 лет.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Форума прошло мероприятие ЭСКАТО ООН по всеобщему доступу к современным энергетическим услугам, воз</w:t>
      </w:r>
      <w:r>
        <w:rPr>
          <w:sz w:val="28"/>
        </w:rPr>
        <w:t xml:space="preserve">обновляемым источникам энергии, энергоэффективности и более </w:t>
      </w:r>
      <w:proofErr w:type="spellStart"/>
      <w:r>
        <w:rPr>
          <w:sz w:val="28"/>
        </w:rPr>
        <w:t>экологичному</w:t>
      </w:r>
      <w:proofErr w:type="spellEnd"/>
      <w:r>
        <w:rPr>
          <w:sz w:val="28"/>
        </w:rPr>
        <w:t xml:space="preserve"> использованию ископаемого топлива, в котором приняли участие делегаты из России и 16 зарубежных стран Азиатско-Тихоокеанского региона.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В Петропавловске-Камчатском в рамках программы к</w:t>
      </w:r>
      <w:r>
        <w:rPr>
          <w:sz w:val="28"/>
        </w:rPr>
        <w:t>омплексного развития инфраструктуры молодежной политики "Регион для молодых" отремонтированы главный корпус Молодежного центра на бульваре Рыбацкой славы и создан филиал центра "ВМЕСТЕ" на улице Горького. Общая площадь отремонтированных помещений в двух це</w:t>
      </w:r>
      <w:r>
        <w:rPr>
          <w:sz w:val="28"/>
        </w:rPr>
        <w:t>нтрах составила 650 квадратных метров.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регионе активно развивается Камчатское региональное отделение МООО "Российские Студенческие Отряды". В 2025 году трудоустроено 326 местных студентов в составе отрядов различной направленности. Кроме того, порядка 4 </w:t>
      </w:r>
      <w:r>
        <w:rPr>
          <w:sz w:val="28"/>
        </w:rPr>
        <w:t>тысяч</w:t>
      </w:r>
    </w:p>
    <w:p w:rsidR="00DD3C44" w:rsidRDefault="00066E48">
      <w:pPr>
        <w:tabs>
          <w:tab w:val="left" w:pos="1541"/>
        </w:tabs>
        <w:jc w:val="both"/>
        <w:rPr>
          <w:sz w:val="28"/>
        </w:rPr>
      </w:pPr>
      <w:r>
        <w:rPr>
          <w:sz w:val="28"/>
        </w:rPr>
        <w:t>иногородних студентов отработали в путинных отрядах. Всего за 10 лет деятельности Камчатских студенческих отрядов было трудоустроено более 7 тысяч студентов.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рамках деятельности Министерства обеспечивается организация и координация сбора и отправки</w:t>
      </w:r>
      <w:r>
        <w:rPr>
          <w:sz w:val="28"/>
        </w:rPr>
        <w:t xml:space="preserve"> гуманитарной помощи для участников СВО, жителей ДНР и освобожденных территорий.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Всего с 30 марта 2022 года было отправлено 29 партий груза общим весом свыше 200 тонн, из них 9 партий груза отправлено в течение 2025 года.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Камчатском крае создаются услови</w:t>
      </w:r>
      <w:r>
        <w:rPr>
          <w:sz w:val="28"/>
        </w:rPr>
        <w:t>я для эффективной самореализации молодежи. В 2025 году 177 человек из числа молодежи Камчатского края побывали на 50 всероссийских и окружных молодежных мероприятиях.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В состав регионального отделения "Движения Первых" входит 143 первичных отделения, общая </w:t>
      </w:r>
      <w:r>
        <w:rPr>
          <w:sz w:val="28"/>
        </w:rPr>
        <w:t>численность участников Движения Первых составляет 24 тысяч человек.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Патриотическому воспитанию и физическому развитию молодежи на Камчатке способствует проведение военно-спортивных игр для молодежи, которые проводятся на Камчатке на протяжении 20 лет. В ра</w:t>
      </w:r>
      <w:r>
        <w:rPr>
          <w:sz w:val="28"/>
        </w:rPr>
        <w:t>зличных этапах игр принимает участие больше 1 тысячи школьников со всего края.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Завершен первый этап благоустройства территории парка культуры и отдыха "Электрон". Выполнены работы по укладке бетонной брусчаткой пешеходных дорожек, установлены световые опор</w:t>
      </w:r>
      <w:r>
        <w:rPr>
          <w:sz w:val="28"/>
        </w:rPr>
        <w:t>ы, лавки и урны. В парке завершены работы по</w:t>
      </w:r>
    </w:p>
    <w:p w:rsidR="00DD3C44" w:rsidRDefault="00066E48">
      <w:pPr>
        <w:tabs>
          <w:tab w:val="left" w:pos="1541"/>
        </w:tabs>
        <w:jc w:val="both"/>
        <w:rPr>
          <w:sz w:val="28"/>
        </w:rPr>
      </w:pPr>
      <w:proofErr w:type="spellStart"/>
      <w:r>
        <w:rPr>
          <w:sz w:val="28"/>
        </w:rPr>
        <w:t>энерго</w:t>
      </w:r>
      <w:proofErr w:type="spellEnd"/>
      <w:r>
        <w:rPr>
          <w:sz w:val="28"/>
        </w:rPr>
        <w:t>- и электроснабжению, территория оснащена видеонаблюдением. Кроме этого, выполнены работы по благоустройству входной группы.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В соответствии с календарным планом официальных физкультурных и спортивных мероприятий Камчатского края проведены 73  физкультурных мероприятия, в их числе региональные физкультурные соревнования по снежным дисциплинам ездового спорта, всероссийский студен</w:t>
      </w:r>
      <w:r>
        <w:rPr>
          <w:sz w:val="28"/>
        </w:rPr>
        <w:t>ческий фестиваль "Спортивная студенческая ночь", региональный этап всероссийских соревнований по хоккею "Золотая шайба", Святочные спортивные игры, Краевые соревнования по пулевой стрельбе среди ветеранов спорта старше 50 лет,  Чемпионат Камчатского края п</w:t>
      </w:r>
      <w:r>
        <w:rPr>
          <w:sz w:val="28"/>
        </w:rPr>
        <w:t>о баскетболу ШБЛ КЭС-</w:t>
      </w:r>
      <w:proofErr w:type="spellStart"/>
      <w:r>
        <w:rPr>
          <w:sz w:val="28"/>
        </w:rPr>
        <w:t>Баскет</w:t>
      </w:r>
      <w:proofErr w:type="spellEnd"/>
      <w:r>
        <w:rPr>
          <w:sz w:val="28"/>
        </w:rPr>
        <w:t>, всероссийские массовые соревнования по лыжным гонкам "Лыжня России", региональный этап всероссийских соревнований по волейболу среди команд общеобразовательных учреждений "Серебряный мяч" в рамках общероссийского проекта "Волей</w:t>
      </w:r>
      <w:r>
        <w:rPr>
          <w:sz w:val="28"/>
        </w:rPr>
        <w:t xml:space="preserve">бол в школу", фестиваль Камчатского края по подледному лову "Удача рыбака", краевые </w:t>
      </w:r>
      <w:proofErr w:type="spellStart"/>
      <w:r>
        <w:rPr>
          <w:sz w:val="28"/>
        </w:rPr>
        <w:t>краевые</w:t>
      </w:r>
      <w:proofErr w:type="spellEnd"/>
      <w:r>
        <w:rPr>
          <w:sz w:val="28"/>
        </w:rPr>
        <w:t xml:space="preserve"> соревнования по пулевой стрельбе среди ветеранов спорта старше 50 лет, региональные этапы фестивалей ГТО среди обучающихся образовательных учреждений, СПО, ВО, труд</w:t>
      </w:r>
      <w:r>
        <w:rPr>
          <w:sz w:val="28"/>
        </w:rPr>
        <w:t xml:space="preserve">овых коллективов, </w:t>
      </w:r>
      <w:r>
        <w:rPr>
          <w:sz w:val="28"/>
        </w:rPr>
        <w:lastRenderedPageBreak/>
        <w:t xml:space="preserve">семейных команд, краевые физкультурные мероприятия "Пасхальные игры", региональный этап ВС по хоккею среди любительских команд, Спартакиада среди </w:t>
      </w:r>
      <w:proofErr w:type="spellStart"/>
      <w:r>
        <w:rPr>
          <w:sz w:val="28"/>
        </w:rPr>
        <w:t>гос.служащих</w:t>
      </w:r>
      <w:proofErr w:type="spellEnd"/>
      <w:r>
        <w:rPr>
          <w:sz w:val="28"/>
        </w:rPr>
        <w:t xml:space="preserve"> по настольному теннису и шахматам, соревнования школьников "Президентские состя</w:t>
      </w:r>
      <w:r>
        <w:rPr>
          <w:sz w:val="28"/>
        </w:rPr>
        <w:t xml:space="preserve">зания" и "Президентские спортивные игры", региональный этап ВС "Кожаный мяч", региональный этап Всероссийской Спартакиады пенсионеров, Региональный фестиваль ГТО "От нормативов ГТО – к олимпийским медалям" в рамках Дня физкультурника, Тихоокеанский забег, </w:t>
      </w:r>
      <w:r>
        <w:rPr>
          <w:sz w:val="28"/>
        </w:rPr>
        <w:t>всероссийские соревнования "Кросс нации" игры среди людей с ограниченными возможностями "Преодоление", всероссийский день ходьбы.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Также проведены 21 межрегиональных соревнования по автомобильному спорту, биатлону, боксу, ездовому спорту, спортивной борьбе,</w:t>
      </w:r>
      <w:r>
        <w:rPr>
          <w:sz w:val="28"/>
        </w:rPr>
        <w:t xml:space="preserve"> самбо, футболу, хоккею, горнолыжному спорту, пауэрлифтингу, смешанному боевому единоборству (ММА), 12 всероссийских соревнований по альпинизму, биатлону, горнолыжному спорту, шахматам и самбо и 1 международное соревнование по самбо.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Обеспечена закупка спо</w:t>
      </w:r>
      <w:r>
        <w:rPr>
          <w:sz w:val="28"/>
        </w:rPr>
        <w:t xml:space="preserve">ртивного инвентаря для горнолыжного спорта, биатлона, сноуборда, спорта слепых, спорта глухих, спорт ОДА (отделения горнолыжного спорта), самбо, </w:t>
      </w:r>
      <w:proofErr w:type="spellStart"/>
      <w:r>
        <w:rPr>
          <w:sz w:val="28"/>
        </w:rPr>
        <w:t>киокушинкай</w:t>
      </w:r>
      <w:proofErr w:type="spellEnd"/>
      <w:r>
        <w:rPr>
          <w:sz w:val="28"/>
        </w:rPr>
        <w:t>. Обеспечено проведение тренировочных мероприятий по тхэквондо и самбо.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 xml:space="preserve">Камчатский край в 2025 году </w:t>
      </w:r>
      <w:r>
        <w:rPr>
          <w:sz w:val="28"/>
        </w:rPr>
        <w:t>участвовал в программе "Земский тренер". Для достижения результата предприняты исчерпывающие меры, включая разработку региональных актов и информационную кампанию. Однако, сильное землетрясение 30 июля 2025 года и режим ЧС создали препятствия для привлечен</w:t>
      </w:r>
      <w:r>
        <w:rPr>
          <w:sz w:val="28"/>
        </w:rPr>
        <w:t>ия специалистов. Конкурс был объявлен 30.10.2025, срок приема продлен. Из трёх претендентов один отказался из-за сейсмической активности, второму отказано из-за несоответствия критериям. Победитель трудоустроен, выплата предоставлена. Землетрясение и режим</w:t>
      </w:r>
      <w:r>
        <w:rPr>
          <w:sz w:val="28"/>
        </w:rPr>
        <w:t xml:space="preserve"> ЧС создали препятствия для достижения целевого показателя по трудоустройству двух специалистов. Критично сжатые сроки и чрезвычайные условия не позволили выполнить план в полном объеме.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Утвержден порядок предоставления в 2025 году субсидии из краевого бюд</w:t>
      </w:r>
      <w:r>
        <w:rPr>
          <w:sz w:val="28"/>
        </w:rPr>
        <w:t>жета региональному отделению общероссийской общественно-государственной организации ДОСААФ России Камчатского края на финансовое обеспечение затрат в связи с оказанием услуг в сфере физической культуры и спорта населению Камчатского края по созданию центра</w:t>
      </w:r>
      <w:r>
        <w:rPr>
          <w:sz w:val="28"/>
        </w:rPr>
        <w:t xml:space="preserve"> военно-спортивной подготовки (второй этап реализации проекта). Заключено Соглашение с РО ООГО ДОСААФ РОССИИ КК. 17.04.2025 заключен договор генерального подряда на выполнение мероприятий.</w:t>
      </w:r>
    </w:p>
    <w:p w:rsidR="00DD3C44" w:rsidRDefault="00066E48">
      <w:pPr>
        <w:tabs>
          <w:tab w:val="left" w:pos="1541"/>
        </w:tabs>
        <w:ind w:firstLine="709"/>
        <w:jc w:val="both"/>
        <w:rPr>
          <w:sz w:val="28"/>
        </w:rPr>
      </w:pPr>
      <w:r>
        <w:rPr>
          <w:sz w:val="28"/>
        </w:rPr>
        <w:t>На отчетную дату все работы выполнены в полном объеме, подписаны ак</w:t>
      </w:r>
      <w:r>
        <w:rPr>
          <w:sz w:val="28"/>
        </w:rPr>
        <w:t>ты выполненных работ.</w:t>
      </w:r>
    </w:p>
    <w:p w:rsidR="00DD3C44" w:rsidRDefault="00DD3C44">
      <w:pPr>
        <w:tabs>
          <w:tab w:val="left" w:pos="1541"/>
        </w:tabs>
        <w:ind w:firstLine="709"/>
        <w:jc w:val="both"/>
        <w:rPr>
          <w:sz w:val="28"/>
        </w:rPr>
      </w:pPr>
    </w:p>
    <w:p w:rsidR="00DD3C44" w:rsidRDefault="00066E48">
      <w:pPr>
        <w:ind w:right="43"/>
        <w:jc w:val="center"/>
        <w:rPr>
          <w:sz w:val="28"/>
        </w:rPr>
      </w:pPr>
      <w:r>
        <w:rPr>
          <w:sz w:val="28"/>
        </w:rPr>
        <w:t>Исполнение региональных проектов</w:t>
      </w:r>
    </w:p>
    <w:p w:rsidR="00DD3C44" w:rsidRDefault="00066E48">
      <w:pPr>
        <w:ind w:firstLine="708"/>
        <w:jc w:val="both"/>
        <w:rPr>
          <w:sz w:val="28"/>
        </w:rPr>
      </w:pPr>
      <w:r>
        <w:rPr>
          <w:sz w:val="28"/>
        </w:rPr>
        <w:t>В Камчатском крае в 2025 году в рамках 12 национальных проектов реализовывалось 42 региональных проекта.</w:t>
      </w:r>
    </w:p>
    <w:p w:rsidR="00DD3C44" w:rsidRDefault="00066E48">
      <w:pPr>
        <w:ind w:firstLine="708"/>
        <w:jc w:val="both"/>
        <w:rPr>
          <w:sz w:val="28"/>
        </w:rPr>
      </w:pPr>
      <w:r>
        <w:rPr>
          <w:sz w:val="28"/>
        </w:rPr>
        <w:t xml:space="preserve">Законом Камчатского края от 05.12.2024 № 421 "О краевом бюджете на </w:t>
      </w:r>
      <w:r>
        <w:rPr>
          <w:sz w:val="28"/>
        </w:rPr>
        <w:br/>
        <w:t>2025 год и на плановый пери</w:t>
      </w:r>
      <w:r>
        <w:rPr>
          <w:sz w:val="28"/>
        </w:rPr>
        <w:t xml:space="preserve">од 2026 и 2027 годов" на реализацию национальных проектов предусмотрены средства в объеме 11,6 млрд рублей, в том числе за счет </w:t>
      </w:r>
      <w:r>
        <w:rPr>
          <w:sz w:val="28"/>
        </w:rPr>
        <w:lastRenderedPageBreak/>
        <w:t xml:space="preserve">средств краевого бюджета 4,0 млрд рублей.   </w:t>
      </w:r>
    </w:p>
    <w:p w:rsidR="00DD3C44" w:rsidRDefault="00066E48">
      <w:pPr>
        <w:ind w:firstLine="708"/>
        <w:jc w:val="both"/>
        <w:rPr>
          <w:sz w:val="28"/>
        </w:rPr>
      </w:pPr>
      <w:r>
        <w:rPr>
          <w:sz w:val="28"/>
        </w:rPr>
        <w:t>Исполнение за 2025 год составило 11,3 млрд рублей или 97,2 % от утвержденных бюджет</w:t>
      </w:r>
      <w:r>
        <w:rPr>
          <w:sz w:val="28"/>
        </w:rPr>
        <w:t>ных ассигнований, в том числе за счет средств краевого бюджета 3,8 млрд рублей или 93,7 % от утвержденных ассигнований (для сравнения исполнение за 2024 год составило 10,0 млрд рублей или 95,5 % от утвержденных бюджетных ассигнований, в том числе за счет с</w:t>
      </w:r>
      <w:r>
        <w:rPr>
          <w:sz w:val="28"/>
        </w:rPr>
        <w:t xml:space="preserve">редств краевого бюджета </w:t>
      </w:r>
      <w:r>
        <w:rPr>
          <w:sz w:val="28"/>
        </w:rPr>
        <w:br/>
        <w:t>3,5 млрд рублей или 90,2 % от утвержденных ассигнований).</w:t>
      </w:r>
    </w:p>
    <w:p w:rsidR="00DD3C44" w:rsidRDefault="00DD3C44">
      <w:pPr>
        <w:ind w:right="43"/>
        <w:rPr>
          <w:sz w:val="28"/>
        </w:rPr>
      </w:pPr>
    </w:p>
    <w:p w:rsidR="00DD3C44" w:rsidRDefault="00066E48">
      <w:pPr>
        <w:ind w:right="43"/>
        <w:jc w:val="center"/>
        <w:rPr>
          <w:sz w:val="28"/>
        </w:rPr>
      </w:pPr>
      <w:r>
        <w:rPr>
          <w:sz w:val="28"/>
        </w:rPr>
        <w:t>Исполнение краевых инвестиционных мероприятий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Исполнение расходов на реализацию краевых инвестиционных мероприятий за 2025 год составило 13,5 млрд рублей или 88,6</w:t>
      </w:r>
      <w:r>
        <w:rPr>
          <w:sz w:val="28"/>
        </w:rPr>
        <w:t xml:space="preserve"> % от утвержденного объема ассигнований, в том числе за счет средств краевого бюджета 2,8 млрд рублей или </w:t>
      </w:r>
      <w:r>
        <w:rPr>
          <w:sz w:val="28"/>
        </w:rPr>
        <w:br/>
        <w:t>80,1 % от утвержденных годовых ассигнований.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За 2024 год исполнение составило 19,4 млрд рублей или 91,1 % от утвержденного объема ассигнований, в том</w:t>
      </w:r>
      <w:r>
        <w:rPr>
          <w:sz w:val="28"/>
        </w:rPr>
        <w:t xml:space="preserve"> числе за счет средств краевого бюджета 3,1 млрд рублей или 73,1 % от утвержденных годовых ассигнований.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государственной программы Камчатского края "Развитие здравоохранения Камчатского края" введен в эксплуатацию 1 этап Камчатской краевой больниц</w:t>
      </w:r>
      <w:r>
        <w:rPr>
          <w:sz w:val="28"/>
        </w:rPr>
        <w:t>ы.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модернизации первичного звена здравоохранения в 2025 году реализовывалось 3 мероприятия по строительству районных больниц и отделения общей врачебной практики (семейной медицины).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государственной программы Камчатского края "Развитие об</w:t>
      </w:r>
      <w:r>
        <w:rPr>
          <w:sz w:val="28"/>
        </w:rPr>
        <w:t xml:space="preserve">разования в Камчатском крае" введена в эксплуатацию средняя школа № 40 по </w:t>
      </w:r>
      <w:r>
        <w:rPr>
          <w:sz w:val="28"/>
        </w:rPr>
        <w:br/>
        <w:t xml:space="preserve">ул. </w:t>
      </w:r>
      <w:proofErr w:type="spellStart"/>
      <w:r>
        <w:rPr>
          <w:sz w:val="28"/>
        </w:rPr>
        <w:t>Вольского</w:t>
      </w:r>
      <w:proofErr w:type="spellEnd"/>
      <w:r>
        <w:rPr>
          <w:sz w:val="28"/>
        </w:rPr>
        <w:t xml:space="preserve"> микрорайона "Северо-Восток" в городе Петропавловске-Камчатском.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2025 году реализовывалось мероприятие по строительству детского и молодежного научно-образовательного</w:t>
      </w:r>
      <w:r>
        <w:rPr>
          <w:sz w:val="28"/>
        </w:rPr>
        <w:t xml:space="preserve"> центра "Восход" (ДОЛ им. Ю.А. Гагарина), в связи с необходимостью корректировки проектной документации срок выполнения работ по контракту продлен до 20.08.2026 года.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государственной программы Камчатского края "Развитие культуры в Камчатском крае"</w:t>
      </w:r>
      <w:r>
        <w:rPr>
          <w:sz w:val="28"/>
        </w:rPr>
        <w:t xml:space="preserve"> продолжилось строительство Камчатского театра кукол, продлен срок исполнения работ по контракту до 01.11.2026 года включительно, общая готовность объекта 66,8%.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2025 году продолжилась реконструкция здания Корякской школы искусств им. Д.Б. </w:t>
      </w:r>
      <w:proofErr w:type="spellStart"/>
      <w:r>
        <w:rPr>
          <w:sz w:val="28"/>
        </w:rPr>
        <w:t>Кабалевского</w:t>
      </w:r>
      <w:proofErr w:type="spellEnd"/>
      <w:r>
        <w:rPr>
          <w:sz w:val="28"/>
        </w:rPr>
        <w:t xml:space="preserve">, </w:t>
      </w:r>
      <w:r>
        <w:rPr>
          <w:sz w:val="28"/>
        </w:rPr>
        <w:t xml:space="preserve">продолжилась реконструкция объекта культурного наследия регионального значения "Дом № 13 по ул. </w:t>
      </w:r>
      <w:proofErr w:type="spellStart"/>
      <w:r>
        <w:rPr>
          <w:sz w:val="28"/>
        </w:rPr>
        <w:t>Красинцев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г.Петропавловске</w:t>
      </w:r>
      <w:proofErr w:type="spellEnd"/>
      <w:r>
        <w:rPr>
          <w:sz w:val="28"/>
        </w:rPr>
        <w:t xml:space="preserve">-Камчатском", техническая готовность объекта 99,0%. Срок окончания работ перенесён на 2026 год.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рамках государственной программы </w:t>
      </w:r>
      <w:r>
        <w:rPr>
          <w:sz w:val="28"/>
        </w:rPr>
        <w:t xml:space="preserve">Камчатского края "Обеспечение доступным и комфортным жильем жителей Камчатского края" продолжилось строительство комплекса многоквартирных жилых домов в жилом районе Приморский города </w:t>
      </w:r>
      <w:proofErr w:type="spellStart"/>
      <w:r>
        <w:rPr>
          <w:sz w:val="28"/>
        </w:rPr>
        <w:t>Вилючинска</w:t>
      </w:r>
      <w:proofErr w:type="spellEnd"/>
      <w:r>
        <w:rPr>
          <w:sz w:val="28"/>
        </w:rPr>
        <w:t>, строительство поэтапное, в текущем году ведутся работы треть</w:t>
      </w:r>
      <w:r>
        <w:rPr>
          <w:sz w:val="28"/>
        </w:rPr>
        <w:t xml:space="preserve">его этапа, мощность объекта – 270 квартир, техническая готовность 3-го этапа – 69,7%, общая готовность – 88,6%, планировалось завершить строительство </w:t>
      </w:r>
      <w:r>
        <w:rPr>
          <w:sz w:val="28"/>
        </w:rPr>
        <w:lastRenderedPageBreak/>
        <w:t>объекта до 08.09.2025 года, в соответствии с соглашением о предоставлении субсидии контрольные точки по вв</w:t>
      </w:r>
      <w:r>
        <w:rPr>
          <w:sz w:val="28"/>
        </w:rPr>
        <w:t xml:space="preserve">оду объекта в эксплуатацию продлены Минстроем России до 31.12.2026 года.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государственной программы Камчатского края "</w:t>
      </w:r>
      <w:proofErr w:type="spellStart"/>
      <w:r>
        <w:rPr>
          <w:sz w:val="28"/>
        </w:rPr>
        <w:t>Энергоэффективность</w:t>
      </w:r>
      <w:proofErr w:type="spellEnd"/>
      <w:r>
        <w:rPr>
          <w:sz w:val="28"/>
        </w:rPr>
        <w:t>, развитие энергетики и коммунального хозяйства, обеспечение жителей населенных пунктов Камчатского края комму</w:t>
      </w:r>
      <w:r>
        <w:rPr>
          <w:sz w:val="28"/>
        </w:rPr>
        <w:t>нальными услугами" продолжились строительные работы на объекте "Водовод с водозабором в с. Тигиль", продлен срок выполнения работ по контракту по 31.08.2026 года,  выполнялись работы по строительству объекта "</w:t>
      </w:r>
      <w:proofErr w:type="spellStart"/>
      <w:r>
        <w:rPr>
          <w:sz w:val="28"/>
        </w:rPr>
        <w:t>Регазификационный</w:t>
      </w:r>
      <w:proofErr w:type="spellEnd"/>
      <w:r>
        <w:rPr>
          <w:sz w:val="28"/>
        </w:rPr>
        <w:t xml:space="preserve"> комплекс СПГ в Камчатском кра</w:t>
      </w:r>
      <w:r>
        <w:rPr>
          <w:sz w:val="28"/>
        </w:rPr>
        <w:t xml:space="preserve">е", мощность 446 тыс. тонн СПГ в год, создано КГКУ "Дирекция по строительству </w:t>
      </w:r>
      <w:proofErr w:type="spellStart"/>
      <w:r>
        <w:rPr>
          <w:sz w:val="28"/>
        </w:rPr>
        <w:t>Регазификационного</w:t>
      </w:r>
      <w:proofErr w:type="spellEnd"/>
      <w:r>
        <w:rPr>
          <w:sz w:val="28"/>
        </w:rPr>
        <w:t xml:space="preserve"> комплекса СПГ в Камчатском крае", срок окончания работ продлен до 30.11.2026 года.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2025 году продолжилась реконструкция котельной № 20 (ул. Деркачева) с пере</w:t>
      </w:r>
      <w:r>
        <w:rPr>
          <w:sz w:val="28"/>
        </w:rPr>
        <w:t>дачей нагрузок котельной № 10. Реализация мероприятия осуществляется в рамках концессионного соглашения. Окончание работ согласно контракту 31.10.2025, ввиду отставания от графика производства работ, срок реализации мероприятия перенесен на 2026 год.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</w:t>
      </w:r>
      <w:r>
        <w:rPr>
          <w:sz w:val="28"/>
        </w:rPr>
        <w:t>ках государственной программы Камчатского края "Развитие транспортной системы в Камчатском крае" продолжилось строительство автомобильной дороги общего пользования регионального значения Камчатского края "п. Термальный - туристский кластер "Три вулкана" (1</w:t>
      </w:r>
      <w:r>
        <w:rPr>
          <w:sz w:val="28"/>
        </w:rPr>
        <w:t>-3 этапы), протяженностью 32,063 км, строительство объекта продлено до 30.09.2027 года.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государственной программы Камчатского края "Комплексное развитие сельских территорий Камчатского края" начато строительство ледового дворца в г. Елизово с проп</w:t>
      </w:r>
      <w:r>
        <w:rPr>
          <w:sz w:val="28"/>
        </w:rPr>
        <w:t>ускной способностью в сутки – 490 человек, окончание работ на объекте запланировано до 17.05.2027.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ab/>
        <w:t xml:space="preserve">В 2025 году начато строительство спортивного зала в поселке Ключи </w:t>
      </w:r>
      <w:proofErr w:type="spellStart"/>
      <w:r>
        <w:rPr>
          <w:sz w:val="28"/>
        </w:rPr>
        <w:t>Усть</w:t>
      </w:r>
      <w:proofErr w:type="spellEnd"/>
      <w:r>
        <w:rPr>
          <w:sz w:val="28"/>
        </w:rPr>
        <w:t>-Камчатского муниципального округа с пропускной способность 49 человек, окончание рабо</w:t>
      </w:r>
      <w:r>
        <w:rPr>
          <w:sz w:val="28"/>
        </w:rPr>
        <w:t xml:space="preserve">т на объекте запланировано до 24.10.2026 года.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рамках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по концессионному соглашению на Создание и </w:t>
      </w:r>
      <w:r>
        <w:rPr>
          <w:sz w:val="28"/>
        </w:rPr>
        <w:t xml:space="preserve">эксплуатация общественного центра на площади Ленина с благоустройством прилегающей территории, г. Петропавловск-Камчатский (в том числе проектные работы)) (финансовое обеспечение обязательств </w:t>
      </w:r>
      <w:proofErr w:type="spellStart"/>
      <w:r>
        <w:rPr>
          <w:sz w:val="28"/>
        </w:rPr>
        <w:t>концедента</w:t>
      </w:r>
      <w:proofErr w:type="spellEnd"/>
      <w:r>
        <w:rPr>
          <w:sz w:val="28"/>
        </w:rPr>
        <w:t xml:space="preserve"> в рамках концессионного соглашения в соответствии с Ф</w:t>
      </w:r>
      <w:r>
        <w:rPr>
          <w:sz w:val="28"/>
        </w:rPr>
        <w:t>едеральным законом от 21.07.2005 № 115-ФЗ "О концессионных соглашениях") продолжается разработка проектно-сметной документации.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2025 году в рамках заключенного соглашения о предоставлении бюджету Камчатского края субсидии из федерального бюджета на обесп</w:t>
      </w:r>
      <w:r>
        <w:rPr>
          <w:sz w:val="28"/>
        </w:rPr>
        <w:t xml:space="preserve">ечение комплексного развития сельских территорий был установлен результат "Реализованы проекты комплексного развития сельских территорий (агломераций) (в части строительства и реконструкции (модернизации) объектов капитального строительства)" в количестве </w:t>
      </w:r>
      <w:r>
        <w:rPr>
          <w:sz w:val="28"/>
        </w:rPr>
        <w:t xml:space="preserve">1 единицы. Результат по итогам 2025 года не выполнен. В рамках строительства </w:t>
      </w:r>
      <w:r>
        <w:rPr>
          <w:sz w:val="28"/>
        </w:rPr>
        <w:lastRenderedPageBreak/>
        <w:t>объекта "Учебный корпус МБОУ "</w:t>
      </w:r>
      <w:proofErr w:type="spellStart"/>
      <w:r>
        <w:rPr>
          <w:sz w:val="28"/>
        </w:rPr>
        <w:t>Елизовская</w:t>
      </w:r>
      <w:proofErr w:type="spellEnd"/>
      <w:r>
        <w:rPr>
          <w:sz w:val="28"/>
        </w:rPr>
        <w:t xml:space="preserve"> средняя школа № 1 им. М.В. Ломоносова" с подрядной организацией ООО специализированный застройщик "Трест" заключен муниципальный контракт </w:t>
      </w:r>
      <w:r>
        <w:rPr>
          <w:sz w:val="28"/>
        </w:rPr>
        <w:t>от 05.12.2023 № 0138300000123000221, срок исполнения по которому был определен на 30 ноября 2025 года.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Однако, в связи со срывом сроков ввода объекта в эксплуатацию планируемый ввод объекта предварительно перенесен на 1.04.2026 года. Причинами отклонения о</w:t>
      </w:r>
      <w:r>
        <w:rPr>
          <w:sz w:val="28"/>
        </w:rPr>
        <w:t xml:space="preserve">т графика строительно-монтажных работ являются устранение замечаний от </w:t>
      </w:r>
      <w:r>
        <w:rPr>
          <w:sz w:val="28"/>
        </w:rPr>
        <w:br/>
        <w:t>ФБУ "РСК", исправление проектной документации, не предоставление исполнительной документации подрядной организацией для совершения приемки и оплаты выполненных работ.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2025 году продо</w:t>
      </w:r>
      <w:r>
        <w:rPr>
          <w:sz w:val="28"/>
        </w:rPr>
        <w:t xml:space="preserve">лжено строительство автомобильной дороги от </w:t>
      </w:r>
      <w:r>
        <w:rPr>
          <w:sz w:val="28"/>
        </w:rPr>
        <w:br/>
        <w:t xml:space="preserve">пос. Заозерный до </w:t>
      </w:r>
      <w:proofErr w:type="spellStart"/>
      <w:r>
        <w:rPr>
          <w:sz w:val="28"/>
        </w:rPr>
        <w:t>Халактырского</w:t>
      </w:r>
      <w:proofErr w:type="spellEnd"/>
      <w:r>
        <w:rPr>
          <w:sz w:val="28"/>
        </w:rPr>
        <w:t xml:space="preserve"> пляжа за счет средств специального казначейского кредита,</w:t>
      </w:r>
      <w:r>
        <w:t xml:space="preserve"> </w:t>
      </w:r>
      <w:r>
        <w:rPr>
          <w:sz w:val="28"/>
        </w:rPr>
        <w:t>продолжено строительство автомобильной дороги Три вулкана (1-3 этап).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Завершается строительство судна "Станислав Агапов",</w:t>
      </w:r>
      <w:r>
        <w:rPr>
          <w:sz w:val="28"/>
        </w:rPr>
        <w:t xml:space="preserve"> которое заменит дизель-электроход "Капитан </w:t>
      </w:r>
      <w:proofErr w:type="spellStart"/>
      <w:r>
        <w:rPr>
          <w:sz w:val="28"/>
        </w:rPr>
        <w:t>Драбкин</w:t>
      </w:r>
      <w:proofErr w:type="spellEnd"/>
      <w:r>
        <w:rPr>
          <w:sz w:val="28"/>
        </w:rPr>
        <w:t>" на переправе в п. Усть-Камчатск.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рамках мероприятий Комплексного плана модернизации и расширения магистральной инфраструктуры предусмотрена реализация объекта гражданской авиации "Реконструкция аэропор</w:t>
      </w:r>
      <w:r>
        <w:rPr>
          <w:sz w:val="28"/>
        </w:rPr>
        <w:t xml:space="preserve">та </w:t>
      </w:r>
      <w:proofErr w:type="spellStart"/>
      <w:r>
        <w:rPr>
          <w:sz w:val="28"/>
        </w:rPr>
        <w:t>Тиличики</w:t>
      </w:r>
      <w:proofErr w:type="spellEnd"/>
      <w:r>
        <w:rPr>
          <w:sz w:val="28"/>
        </w:rPr>
        <w:t>, Камчатский край".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2025 году ФКП "Аэропорты Камчатки" заключен государственный контракт на реконструкцию взлетно-посадочной полосы в с. </w:t>
      </w:r>
      <w:proofErr w:type="spellStart"/>
      <w:r>
        <w:rPr>
          <w:sz w:val="28"/>
        </w:rPr>
        <w:t>Тиличики</w:t>
      </w:r>
      <w:proofErr w:type="spellEnd"/>
      <w:r>
        <w:rPr>
          <w:sz w:val="28"/>
        </w:rPr>
        <w:t>, срок реализации проекта 2025-2027, общая стоимость работ оценивается в 1.5 млрд рублей.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Помимо э</w:t>
      </w:r>
      <w:r>
        <w:rPr>
          <w:sz w:val="28"/>
        </w:rPr>
        <w:t xml:space="preserve">того, в целях улучшения условий обслуживания пассажиров </w:t>
      </w:r>
      <w:r>
        <w:rPr>
          <w:sz w:val="28"/>
        </w:rPr>
        <w:br/>
        <w:t>ФКП "Аэропорты Камчатки" за счёт собственных средств принято решение по обновлению административных зданий модульного типа для обслуживания пассажиров и уже введены в эксплуатацию обновленные админис</w:t>
      </w:r>
      <w:r>
        <w:rPr>
          <w:sz w:val="28"/>
        </w:rPr>
        <w:t xml:space="preserve">тративные здания в аэропортах </w:t>
      </w:r>
      <w:proofErr w:type="spellStart"/>
      <w:r>
        <w:rPr>
          <w:sz w:val="28"/>
        </w:rPr>
        <w:t>Оссора</w:t>
      </w:r>
      <w:proofErr w:type="spellEnd"/>
      <w:r>
        <w:rPr>
          <w:sz w:val="28"/>
        </w:rPr>
        <w:t xml:space="preserve"> и Никольское. На период до конца 2026 года запланировано приобретение и установка административных зданий в аэропортах Соболево и </w:t>
      </w:r>
      <w:proofErr w:type="spellStart"/>
      <w:r>
        <w:rPr>
          <w:sz w:val="28"/>
        </w:rPr>
        <w:t>Тиличики</w:t>
      </w:r>
      <w:proofErr w:type="spellEnd"/>
      <w:r>
        <w:rPr>
          <w:sz w:val="28"/>
        </w:rPr>
        <w:t>.</w:t>
      </w:r>
    </w:p>
    <w:p w:rsidR="00DD3C44" w:rsidRDefault="00DD3C44">
      <w:pPr>
        <w:ind w:firstLine="709"/>
        <w:jc w:val="both"/>
        <w:rPr>
          <w:sz w:val="28"/>
        </w:rPr>
      </w:pPr>
    </w:p>
    <w:p w:rsidR="00DD3C44" w:rsidRDefault="00066E48">
      <w:pPr>
        <w:jc w:val="center"/>
        <w:rPr>
          <w:sz w:val="28"/>
        </w:rPr>
      </w:pPr>
      <w:r>
        <w:rPr>
          <w:sz w:val="28"/>
        </w:rPr>
        <w:t>Исполнение государственных программ</w:t>
      </w:r>
    </w:p>
    <w:p w:rsidR="00DD3C44" w:rsidRDefault="00066E48">
      <w:pPr>
        <w:ind w:firstLine="708"/>
        <w:jc w:val="both"/>
        <w:rPr>
          <w:sz w:val="28"/>
        </w:rPr>
      </w:pPr>
      <w:r>
        <w:rPr>
          <w:sz w:val="28"/>
        </w:rPr>
        <w:t>В 2025 году на территории Камчатского края</w:t>
      </w:r>
      <w:r>
        <w:rPr>
          <w:sz w:val="28"/>
        </w:rPr>
        <w:t xml:space="preserve"> действуют 26 государственных программ.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бюджета. </w:t>
      </w:r>
    </w:p>
    <w:p w:rsidR="00DD3C44" w:rsidRDefault="00066E48">
      <w:pPr>
        <w:ind w:firstLine="708"/>
        <w:jc w:val="both"/>
        <w:rPr>
          <w:sz w:val="28"/>
        </w:rPr>
      </w:pPr>
      <w:r>
        <w:rPr>
          <w:sz w:val="28"/>
        </w:rPr>
        <w:t>Общий объем бюджетны</w:t>
      </w:r>
      <w:r>
        <w:rPr>
          <w:sz w:val="28"/>
        </w:rPr>
        <w:t xml:space="preserve">х ассигнований на их реализацию составляет </w:t>
      </w:r>
      <w:r>
        <w:rPr>
          <w:sz w:val="28"/>
        </w:rPr>
        <w:br/>
        <w:t>150,4 млрд рублей, в том числе за счет средств краевого бюджета 110,8 млрд рублей. Исполнение за 2025 год составило 147,4 млрд рублей или 98,1 % от утвержденных бюджетных ассигнований, в том числе за счет средств</w:t>
      </w:r>
      <w:r>
        <w:rPr>
          <w:sz w:val="28"/>
        </w:rPr>
        <w:t xml:space="preserve"> краевого бюджета </w:t>
      </w:r>
      <w:r>
        <w:rPr>
          <w:sz w:val="28"/>
        </w:rPr>
        <w:br/>
        <w:t xml:space="preserve">109,1 млрд рублей или 98,4 % от утвержденных ассигнований. </w:t>
      </w:r>
    </w:p>
    <w:p w:rsidR="00DD3C44" w:rsidRDefault="00066E48">
      <w:pPr>
        <w:ind w:firstLine="708"/>
        <w:jc w:val="both"/>
        <w:rPr>
          <w:sz w:val="28"/>
        </w:rPr>
      </w:pPr>
      <w:r>
        <w:rPr>
          <w:sz w:val="28"/>
        </w:rPr>
        <w:t>Исполнение за 2024 год составило 129,8 млрд рублей или 97,8 % от утвержденных бюджетных ассигнований, в том числе за счет средств краевого бюджета 91,3 млрд рублей или 98,1 % от</w:t>
      </w:r>
      <w:r>
        <w:rPr>
          <w:sz w:val="28"/>
        </w:rPr>
        <w:t xml:space="preserve"> утвержденных ассигнований. </w:t>
      </w:r>
    </w:p>
    <w:p w:rsidR="00DD3C44" w:rsidRDefault="00DD3C44">
      <w:pPr>
        <w:ind w:right="43" w:firstLine="709"/>
        <w:jc w:val="center"/>
        <w:rPr>
          <w:sz w:val="28"/>
        </w:rPr>
      </w:pPr>
    </w:p>
    <w:p w:rsidR="00066E48" w:rsidRDefault="00066E48">
      <w:pPr>
        <w:ind w:right="43" w:firstLine="709"/>
        <w:jc w:val="center"/>
        <w:rPr>
          <w:sz w:val="28"/>
        </w:rPr>
      </w:pPr>
    </w:p>
    <w:p w:rsidR="00DD3C44" w:rsidRDefault="00066E48">
      <w:pPr>
        <w:ind w:right="43" w:firstLine="709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lastRenderedPageBreak/>
        <w:t xml:space="preserve">Исполнение расходов по предоставлению межбюджетных </w:t>
      </w:r>
    </w:p>
    <w:p w:rsidR="00DD3C44" w:rsidRDefault="00066E48">
      <w:pPr>
        <w:ind w:right="43" w:firstLine="709"/>
        <w:jc w:val="center"/>
        <w:rPr>
          <w:sz w:val="28"/>
        </w:rPr>
      </w:pPr>
      <w:r>
        <w:rPr>
          <w:sz w:val="28"/>
        </w:rPr>
        <w:t>трансфертов местным бюджетам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Общий объем межбюджетных трансфертов из краевого бюджета местным бюджетам в 2025 году утвержден в сумме 36,5 млрд рублей, что составляет 23,5</w:t>
      </w:r>
      <w:r>
        <w:rPr>
          <w:sz w:val="28"/>
        </w:rPr>
        <w:t xml:space="preserve"> % от общего объема расходов, исполнение за 2025 год составило 35,4 млрд рублей или </w:t>
      </w:r>
      <w:r>
        <w:rPr>
          <w:sz w:val="28"/>
        </w:rPr>
        <w:br/>
        <w:t xml:space="preserve">97,0 % от утвержденных ассигнований. Доля межбюджетных трансфертов местным бюджетам в общем объеме расходов по исполнению краевого бюджета составила </w:t>
      </w:r>
      <w:r>
        <w:rPr>
          <w:sz w:val="28"/>
        </w:rPr>
        <w:br/>
        <w:t>23,3 % (исполнение за</w:t>
      </w:r>
      <w:r>
        <w:rPr>
          <w:sz w:val="28"/>
        </w:rPr>
        <w:t xml:space="preserve"> 2024 год составило 30,9 млрд рублей или 97,6 % от утвержденных ассигнований).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Общий объем дотаций бюджетам муниципальных образований в 2025 году утвержден в сумме 5,97 млрд рублей, исполнение за 2025 год составило </w:t>
      </w:r>
      <w:r>
        <w:rPr>
          <w:sz w:val="28"/>
        </w:rPr>
        <w:br/>
        <w:t>5,96 млрд рублей или 99,8 % от утвержден</w:t>
      </w:r>
      <w:r>
        <w:rPr>
          <w:sz w:val="28"/>
        </w:rPr>
        <w:t xml:space="preserve">ного объема ассигнований (исполнение за </w:t>
      </w:r>
      <w:r>
        <w:rPr>
          <w:sz w:val="28"/>
        </w:rPr>
        <w:br/>
        <w:t>2024 год составило 4,9 млрд рублей или 100,0 % от утвержденного объема ассигнований).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proofErr w:type="spellStart"/>
      <w:r>
        <w:rPr>
          <w:sz w:val="28"/>
        </w:rPr>
        <w:t>софинансирования</w:t>
      </w:r>
      <w:proofErr w:type="spellEnd"/>
      <w:r>
        <w:rPr>
          <w:sz w:val="28"/>
        </w:rPr>
        <w:t xml:space="preserve"> расходных обязательств муниципальных образований (в том числе первоочередных – по выплате заработной пла</w:t>
      </w:r>
      <w:r>
        <w:rPr>
          <w:sz w:val="28"/>
        </w:rPr>
        <w:t xml:space="preserve">ты и начислений на нее) местным бюджетам в 2025 году утверждены субсидии в сумме </w:t>
      </w:r>
      <w:r>
        <w:rPr>
          <w:sz w:val="28"/>
        </w:rPr>
        <w:br/>
        <w:t xml:space="preserve">11,6 млрд рублей, исполнение за 2025 год составило 10,7 млрд рублей или 92,7 % от утвержденного объема годовых ассигнований (за 2024 год исполнение составило </w:t>
      </w:r>
      <w:r>
        <w:rPr>
          <w:sz w:val="28"/>
        </w:rPr>
        <w:br/>
        <w:t>8,8 млрд рублей</w:t>
      </w:r>
      <w:r>
        <w:rPr>
          <w:sz w:val="28"/>
        </w:rPr>
        <w:t xml:space="preserve"> или 92,8 % от утвержденного объема годовых ассигнований).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Общий объем субвенций, предоставляемых местным бюджетам из краевого бюджета, утвержден в 2025 году в сумме 18,2 млрд рублей, исполнение за </w:t>
      </w:r>
      <w:r>
        <w:rPr>
          <w:sz w:val="28"/>
        </w:rPr>
        <w:br/>
        <w:t>2025 год составило 18,1 млрд рублей или 99,2 % от утверж</w:t>
      </w:r>
      <w:r>
        <w:rPr>
          <w:sz w:val="28"/>
        </w:rPr>
        <w:t>денных ассигнований (за 2024 год – 15,8 млрд рублей или 99,5 % от утвержденных ассигнований).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Общий объем иных межбюджетных трансфертов, предоставляемых местным бюджетам из краевого бюджета, утвержден в 2025 году в сумме 0,7 млрд рублей. За 2025 год исполн</w:t>
      </w:r>
      <w:r>
        <w:rPr>
          <w:sz w:val="28"/>
        </w:rPr>
        <w:t>ение составило 0,66 млрд рублей или 89,4 % от утвержденного объема годовых ассигнований (исполнение за 2024 год составило 1,4 млрд рублей или 99,6 % от утвержденного объема годовых ассигнований).</w:t>
      </w:r>
    </w:p>
    <w:p w:rsidR="00DD3C44" w:rsidRDefault="00DD3C44">
      <w:pPr>
        <w:ind w:firstLine="709"/>
        <w:jc w:val="both"/>
        <w:rPr>
          <w:sz w:val="28"/>
        </w:rPr>
      </w:pPr>
    </w:p>
    <w:p w:rsidR="00DD3C44" w:rsidRDefault="00066E48">
      <w:pPr>
        <w:ind w:firstLine="709"/>
        <w:jc w:val="center"/>
        <w:rPr>
          <w:color w:val="252525"/>
          <w:sz w:val="28"/>
        </w:rPr>
      </w:pPr>
      <w:r>
        <w:rPr>
          <w:color w:val="252525"/>
          <w:sz w:val="28"/>
        </w:rPr>
        <w:t>Исполнение расходов краевого бюджета, осуществляемых за сче</w:t>
      </w:r>
      <w:r>
        <w:rPr>
          <w:color w:val="252525"/>
          <w:sz w:val="28"/>
        </w:rPr>
        <w:t>т целевых средств, полученных из федерального бюджета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Общий объем ассигнований краевого бюджета за счет межбюджетных трансфертов, предоставляемых из федерального бюджета в форме субсидий, субвенций и иных межбюджетных трансфертов составляет 27,6</w:t>
      </w:r>
      <w:r>
        <w:rPr>
          <w:sz w:val="28"/>
        </w:rPr>
        <w:t xml:space="preserve"> млрд рублей.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Исполнение за 2025 год составило 27,2 млрд рублей или 98,5 % от утвержденного объема годовых ассигнований (для сравнения исполнение за 2024 год составило 27,8 млрд рублей или 98,1 % от утвержденного объема годовых ассигнований).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процентном </w:t>
      </w:r>
      <w:r>
        <w:rPr>
          <w:sz w:val="28"/>
        </w:rPr>
        <w:t>соотношении исполнение целевых федеральных средств в разрезе государственных программ Камчатского края выглядит следующим образом: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здравоохранения Камчатского края" – 94,6 %;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образования в Камчатском крае" – 98,3 %;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культуры в</w:t>
      </w:r>
      <w:r>
        <w:rPr>
          <w:sz w:val="28"/>
        </w:rPr>
        <w:t xml:space="preserve"> Камчатском крае" – 99,1 %;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"Семья и дети Камчатки" – 31,4 %;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"Социальная поддержка граждан в Камчатском крае"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"Содействие занятости населения Камчатского края" – 99,9 %;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физической культуры и спорта в Камчатском крае" – 98,9 %;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</w:t>
      </w:r>
      <w:r>
        <w:rPr>
          <w:sz w:val="28"/>
        </w:rPr>
        <w:t>тие экономики и внешнеэкономической деятельности Камчатского края"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сельского хозяйства и регулирование рынков сельскохозяйственной продукции, сырья и продовольствия Камчатского края" – 92,9 %;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"Обеспечение доступным и комфортным жильем ж</w:t>
      </w:r>
      <w:r>
        <w:rPr>
          <w:sz w:val="28"/>
        </w:rPr>
        <w:t>ителей Камчатского края"-99,9 %;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</w:t>
      </w:r>
      <w:proofErr w:type="spellStart"/>
      <w:r>
        <w:rPr>
          <w:sz w:val="28"/>
        </w:rPr>
        <w:t>Энергоэффективность</w:t>
      </w:r>
      <w:proofErr w:type="spellEnd"/>
      <w:r>
        <w:rPr>
          <w:sz w:val="28"/>
        </w:rPr>
        <w:t>, развитие энергетики и коммунального хозяйства, обеспечение жителей населенных пунктов Камчатского края коммунальными услугами"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транспортной системы в Камчатском крае" – 99,5 %;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"Ох</w:t>
      </w:r>
      <w:r>
        <w:rPr>
          <w:sz w:val="28"/>
        </w:rPr>
        <w:t>рана окружающей среды, воспроизводство и использование природных ресурсов в Камчатском крае"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 "Развитие лесного хозяйства Камчатского края"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"Развитие внутреннего и въездного туризма в Камчатском крае" – 98,5 %;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</w:t>
      </w:r>
      <w:r>
        <w:rPr>
          <w:sz w:val="28"/>
        </w:rPr>
        <w:t>Реализация государственной национальной политики и укрепление гражданского единства в Камчатском крае"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 "Управление государственными финансами Камчатского края"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"Формирование современной городской среды в Камчатском крае" – 99,2 %;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"О</w:t>
      </w:r>
      <w:r>
        <w:rPr>
          <w:sz w:val="28"/>
        </w:rPr>
        <w:t>казание содействия добровольному переселению в Камчатский край соотечественников, проживающих за рубежом" – 100,0 %;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"Комплексное развитие сельских территорий Камчатского края" – 73,9 %.</w:t>
      </w:r>
    </w:p>
    <w:p w:rsidR="00DD3C44" w:rsidRDefault="00DD3C44">
      <w:pPr>
        <w:ind w:firstLine="709"/>
        <w:jc w:val="both"/>
        <w:rPr>
          <w:sz w:val="28"/>
        </w:rPr>
      </w:pPr>
    </w:p>
    <w:p w:rsidR="00DD3C44" w:rsidRDefault="00066E48">
      <w:pPr>
        <w:jc w:val="center"/>
        <w:rPr>
          <w:sz w:val="28"/>
        </w:rPr>
      </w:pPr>
      <w:r>
        <w:rPr>
          <w:sz w:val="28"/>
        </w:rPr>
        <w:t xml:space="preserve">Дефицит краевого бюджета и источники финансирования </w:t>
      </w:r>
      <w:r>
        <w:rPr>
          <w:sz w:val="28"/>
        </w:rPr>
        <w:br/>
        <w:t>дефицита бюджет</w:t>
      </w:r>
      <w:r>
        <w:rPr>
          <w:sz w:val="28"/>
        </w:rPr>
        <w:t>а</w:t>
      </w:r>
    </w:p>
    <w:p w:rsidR="00DD3C44" w:rsidRDefault="00066E4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По итогам 2025 года краевой бюджет исполнен с дефицитом в размере </w:t>
      </w:r>
      <w:r>
        <w:rPr>
          <w:sz w:val="28"/>
        </w:rPr>
        <w:br/>
        <w:t>1,1 млрд рублей.</w:t>
      </w:r>
    </w:p>
    <w:p w:rsidR="00DD3C44" w:rsidRDefault="00066E48">
      <w:pPr>
        <w:tabs>
          <w:tab w:val="left" w:pos="1397"/>
        </w:tabs>
        <w:ind w:firstLine="709"/>
        <w:jc w:val="both"/>
        <w:rPr>
          <w:sz w:val="28"/>
        </w:rPr>
      </w:pPr>
      <w:r>
        <w:rPr>
          <w:sz w:val="28"/>
        </w:rPr>
        <w:t xml:space="preserve">Законом Камчатского края от 05.12.2024 № 421 "О краевом бюджете на </w:t>
      </w:r>
      <w:r>
        <w:rPr>
          <w:sz w:val="28"/>
        </w:rPr>
        <w:br/>
        <w:t>2025 год и на плановый период 2026 и 2027 годов" в составе источников финансирования дефицита краевог</w:t>
      </w:r>
      <w:r>
        <w:rPr>
          <w:sz w:val="28"/>
        </w:rPr>
        <w:t>о бюджета на 2025 год утверждено: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привлечение субъектами Российской Федерации кредитов от кредитных организаций в валюте Российской Федерации в размере 17,1 млрд рублей. По итогам 2025 года в краевой бюджет привлечено кредитов от кредитных организаций в </w:t>
      </w:r>
      <w:r>
        <w:rPr>
          <w:sz w:val="28"/>
        </w:rPr>
        <w:t>размере 14,9 млрд рублей;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погашение субъектами Российской Федерации кредитов от кредитных организаций в валюте Российской Федерации в размере 10,6 млрд рублей. В 2025 году объем погашенных кредитов от кредитных организаций составил 10,6 млрд рублей;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пр</w:t>
      </w:r>
      <w:r>
        <w:rPr>
          <w:sz w:val="28"/>
        </w:rPr>
        <w:t>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3,5 млрд рублей (в том числе бюджетные кредиты на пополнение остатка средств на едином счете бюдже</w:t>
      </w:r>
      <w:r>
        <w:rPr>
          <w:sz w:val="28"/>
        </w:rPr>
        <w:t xml:space="preserve">та – 2,5 млрд рублей, бюджетный </w:t>
      </w:r>
      <w:r>
        <w:rPr>
          <w:sz w:val="28"/>
        </w:rPr>
        <w:lastRenderedPageBreak/>
        <w:t xml:space="preserve">кредит на финансовое обеспечение реализации инфраструктурных проектов – </w:t>
      </w:r>
      <w:r>
        <w:rPr>
          <w:sz w:val="28"/>
        </w:rPr>
        <w:br/>
        <w:t xml:space="preserve">1,0 млрд рублей). За 2025 год объем привлеченных бюджетных кредитов составил </w:t>
      </w:r>
      <w:r>
        <w:rPr>
          <w:sz w:val="28"/>
        </w:rPr>
        <w:br/>
        <w:t>3,5 млрд рублей (в том числе бюджетные кредиты на пополнение остатка сред</w:t>
      </w:r>
      <w:r>
        <w:rPr>
          <w:sz w:val="28"/>
        </w:rPr>
        <w:t>ств на едином счете бюджета – 2,5 млрд рублей, бюджетный кредит на финансовое обеспечение реализации инфраструктурных проектов 1,0 млрд рублей);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погашение бюджетами субъектов Российской Федерации кредитов из других бюджетов бюджетной системы Российской Ф</w:t>
      </w:r>
      <w:r>
        <w:rPr>
          <w:sz w:val="28"/>
        </w:rPr>
        <w:t xml:space="preserve">едерации в объеме </w:t>
      </w:r>
      <w:r>
        <w:rPr>
          <w:sz w:val="28"/>
        </w:rPr>
        <w:br/>
        <w:t>2,8 млрд рублей (в том числе бюджетные кредиты на пополнение остатка средств на едином счете бюджета – 2,5 млрд рублей, бюджетные кредиты на финансовое обеспечение реализации инфраструктурных проектов – 111,4 млн рублей, бюджетный кредит</w:t>
      </w:r>
      <w:r>
        <w:rPr>
          <w:sz w:val="28"/>
        </w:rPr>
        <w:t xml:space="preserve"> для погашения долговых обязательств в виде обязательств по государственным ценным бумагам – 75,0 млн рублей, специальный казначейский кредит – 119,6 млн рублей). Все бюджетные кредиты погашены в сроки, установленные соглашениями о предоставлении бюджетных</w:t>
      </w:r>
      <w:r>
        <w:rPr>
          <w:sz w:val="28"/>
        </w:rPr>
        <w:t xml:space="preserve"> кредитов, просроченные долговые обязательства отсутствуют;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– иные источники внутреннего финансирования дефицитов бюджетов, </w:t>
      </w:r>
      <w:r>
        <w:rPr>
          <w:sz w:val="28"/>
        </w:rPr>
        <w:br/>
        <w:t>в том числе:</w:t>
      </w:r>
    </w:p>
    <w:p w:rsidR="00DD3C44" w:rsidRDefault="00066E48">
      <w:pPr>
        <w:pStyle w:val="aff5"/>
        <w:spacing w:beforeAutospacing="0" w:afterAutospacing="0" w:line="288" w:lineRule="atLeast"/>
        <w:ind w:firstLine="709"/>
        <w:jc w:val="both"/>
        <w:rPr>
          <w:sz w:val="28"/>
        </w:rPr>
      </w:pPr>
      <w:r>
        <w:rPr>
          <w:sz w:val="28"/>
        </w:rPr>
        <w:t xml:space="preserve">– предоставление бюджетных кредитов юридическим лицам в сумме </w:t>
      </w:r>
      <w:r>
        <w:rPr>
          <w:sz w:val="28"/>
        </w:rPr>
        <w:br/>
        <w:t>2,7 млрд рублей. В 2025 году были предоставлены бюджетн</w:t>
      </w:r>
      <w:r>
        <w:rPr>
          <w:sz w:val="28"/>
        </w:rPr>
        <w:t>ые кредиты для целей закупки и доставки в Камчатский край топлива для нужд жилищно-коммунального хозяйства ПАО "Камчатскэнерго" на общую сумму 2,3 млрд рублей, для осуществления северного завоза АО "Южные энергетические сети Камчатки" на сумму 400,0 млн ру</w:t>
      </w:r>
      <w:r>
        <w:rPr>
          <w:sz w:val="28"/>
        </w:rPr>
        <w:t>блей;</w:t>
      </w:r>
    </w:p>
    <w:p w:rsidR="00DD3C44" w:rsidRDefault="00066E48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–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</w:t>
      </w:r>
      <w:r>
        <w:rPr>
          <w:sz w:val="28"/>
        </w:rPr>
        <w:t xml:space="preserve">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</w:t>
      </w:r>
      <w:r>
        <w:rPr>
          <w:sz w:val="28"/>
        </w:rPr>
        <w:t>операций с денежными средствами юридических лиц, не являющихся участниками бюджетного процесса, бюджетными и автономными учреждениями в сумме "минус" 8,2 млрд рублей (в размере остатка привлеченных с казначейских счетов средств на 01.01.2025, подлежащего в</w:t>
      </w:r>
      <w:r>
        <w:rPr>
          <w:sz w:val="28"/>
        </w:rPr>
        <w:t xml:space="preserve">осстановлению). По итогам 2025 года увеличение финансовых активов за счет привлеченных остатков средств с казначейских счетов составило </w:t>
      </w:r>
      <w:r>
        <w:rPr>
          <w:sz w:val="28"/>
        </w:rPr>
        <w:br/>
        <w:t>1,7 млрд рублей;</w:t>
      </w:r>
    </w:p>
    <w:p w:rsidR="00DD3C44" w:rsidRDefault="00066E48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– возврат бюджетных кредитов, предоставленных юридическим лицам, в сумме 2,9 млрд рублей. Юридическими</w:t>
      </w:r>
      <w:r>
        <w:rPr>
          <w:sz w:val="28"/>
        </w:rPr>
        <w:t xml:space="preserve"> лицами </w:t>
      </w:r>
      <w:r>
        <w:rPr>
          <w:color w:val="auto"/>
          <w:sz w:val="28"/>
        </w:rPr>
        <w:t>в декабре 2025 года</w:t>
      </w:r>
      <w:r>
        <w:rPr>
          <w:sz w:val="28"/>
        </w:rPr>
        <w:t xml:space="preserve"> </w:t>
      </w:r>
      <w:r>
        <w:rPr>
          <w:color w:val="auto"/>
          <w:sz w:val="28"/>
        </w:rPr>
        <w:t>осуществлен возврат бюджетных кредитов в полном объеме;</w:t>
      </w:r>
    </w:p>
    <w:p w:rsidR="00DD3C44" w:rsidRDefault="00066E4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– 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</w:t>
      </w:r>
      <w:r>
        <w:rPr>
          <w:sz w:val="28"/>
        </w:rPr>
        <w:t>ых кредитов в объеме 189,0 млн рублей. Бюджетный кредит погашен в декабре 2025 года.</w:t>
      </w:r>
    </w:p>
    <w:p w:rsidR="00DD3C44" w:rsidRDefault="00066E4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Основными источниками покрытия кассовых разрывов в отчетном периоде </w:t>
      </w:r>
      <w:r>
        <w:rPr>
          <w:sz w:val="28"/>
        </w:rPr>
        <w:lastRenderedPageBreak/>
        <w:t xml:space="preserve">2025 года продолжали оставаться привлеченные на единый счет бюджета остатки </w:t>
      </w:r>
      <w:r>
        <w:rPr>
          <w:sz w:val="28"/>
        </w:rPr>
        <w:t>средств с казначейских счетов и бюджетные кредиты на пополнение остатка средств на едином счете бюджета. При этом, по результатам проведенной с Минфином России работы, срок возврата бюджетного кредита на пополнение остатка средств на едином счете бюджета б</w:t>
      </w:r>
      <w:r>
        <w:rPr>
          <w:sz w:val="28"/>
        </w:rPr>
        <w:t xml:space="preserve">ыл продлен до декабря 2025 года (вместо июля 2025 года), что позволило обеспечить бесперебойное прохождение процесса исполнения краевого бюджета. </w:t>
      </w:r>
    </w:p>
    <w:p w:rsidR="00DD3C44" w:rsidRDefault="00066E4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Дополнительно с целью покрытия кассового разрыва, образовавшегося в феврале 2025 года в связи с необходимост</w:t>
      </w:r>
      <w:r>
        <w:rPr>
          <w:sz w:val="28"/>
        </w:rPr>
        <w:t xml:space="preserve">ью погашения задолженности </w:t>
      </w:r>
      <w:proofErr w:type="spellStart"/>
      <w:r>
        <w:rPr>
          <w:sz w:val="28"/>
        </w:rPr>
        <w:t>ресурсоснабжающим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энергоснабжающим</w:t>
      </w:r>
      <w:proofErr w:type="spellEnd"/>
      <w:r>
        <w:rPr>
          <w:sz w:val="28"/>
        </w:rPr>
        <w:t xml:space="preserve"> организациям Камчатского края по предоставляемым субсидиям в целях возмещения недополученных доходов и обеспечения бесперебойного функционирования объектов тепловой и электрической генерации К</w:t>
      </w:r>
      <w:r>
        <w:rPr>
          <w:sz w:val="28"/>
        </w:rPr>
        <w:t>амчатского края, по результатам проведенной с Минфином России работы опережающими темпами перечислена дотация на выравнивание бюджетной обеспеченности в размере 2,2 млрд рублей.</w:t>
      </w:r>
    </w:p>
    <w:p w:rsidR="00DD3C44" w:rsidRDefault="00DD3C44">
      <w:pPr>
        <w:tabs>
          <w:tab w:val="left" w:pos="709"/>
        </w:tabs>
        <w:jc w:val="both"/>
        <w:rPr>
          <w:sz w:val="28"/>
          <w:highlight w:val="yellow"/>
        </w:rPr>
      </w:pPr>
    </w:p>
    <w:p w:rsidR="00DD3C44" w:rsidRDefault="00066E48">
      <w:pPr>
        <w:tabs>
          <w:tab w:val="left" w:pos="0"/>
        </w:tabs>
        <w:ind w:firstLine="709"/>
        <w:jc w:val="center"/>
        <w:rPr>
          <w:sz w:val="28"/>
        </w:rPr>
      </w:pPr>
      <w:r>
        <w:rPr>
          <w:sz w:val="28"/>
        </w:rPr>
        <w:t>Структура государственного долга Камчатского края:</w:t>
      </w:r>
    </w:p>
    <w:p w:rsidR="00DD3C44" w:rsidRDefault="00066E48">
      <w:pPr>
        <w:tabs>
          <w:tab w:val="left" w:pos="284"/>
        </w:tabs>
        <w:ind w:firstLine="709"/>
        <w:jc w:val="right"/>
        <w:rPr>
          <w:sz w:val="18"/>
        </w:rPr>
      </w:pPr>
      <w:r>
        <w:rPr>
          <w:sz w:val="18"/>
        </w:rPr>
        <w:t>(в млрд рублей)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843"/>
        <w:gridCol w:w="1842"/>
      </w:tblGrid>
      <w:tr w:rsidR="00DD3C44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C44" w:rsidRDefault="00066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долгового обязательства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C44" w:rsidRDefault="00066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января </w:t>
            </w:r>
          </w:p>
          <w:p w:rsidR="00DD3C44" w:rsidRDefault="00066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2025 года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44" w:rsidRDefault="00066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1января </w:t>
            </w:r>
          </w:p>
          <w:p w:rsidR="00DD3C44" w:rsidRDefault="00066E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2026 года</w:t>
            </w:r>
          </w:p>
        </w:tc>
      </w:tr>
      <w:tr w:rsidR="00DD3C44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3C44" w:rsidRDefault="00066E48">
            <w:pPr>
              <w:widowControl/>
              <w:jc w:val="both"/>
              <w:rPr>
                <w:sz w:val="22"/>
              </w:rPr>
            </w:pPr>
            <w:r>
              <w:rPr>
                <w:sz w:val="22"/>
              </w:rPr>
              <w:t>Кредиты, привлеченные субъектом Российской Федерации от кредитных организаций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C44" w:rsidRDefault="00066E48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C44" w:rsidRDefault="00066E48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11,9</w:t>
            </w:r>
          </w:p>
        </w:tc>
      </w:tr>
      <w:tr w:rsidR="00DD3C44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3C44" w:rsidRDefault="00066E48">
            <w:pPr>
              <w:jc w:val="both"/>
              <w:rPr>
                <w:sz w:val="22"/>
              </w:rPr>
            </w:pPr>
            <w:r>
              <w:rPr>
                <w:sz w:val="22"/>
              </w:rPr>
              <w:t>Бюджетные кредиты, привлеченные в бюджет субъекта Российской Федерации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C44" w:rsidRDefault="00066E48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C44" w:rsidRDefault="00066E48">
            <w:pPr>
              <w:ind w:firstLine="709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6,2</w:t>
            </w:r>
          </w:p>
        </w:tc>
      </w:tr>
      <w:tr w:rsidR="00DD3C44">
        <w:trPr>
          <w:trHeight w:val="147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3C44" w:rsidRDefault="00066E48">
            <w:pPr>
              <w:jc w:val="both"/>
              <w:rPr>
                <w:sz w:val="22"/>
              </w:rPr>
            </w:pPr>
            <w:r>
              <w:rPr>
                <w:sz w:val="22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44" w:rsidRDefault="00066E48">
            <w:pPr>
              <w:ind w:firstLine="709"/>
              <w:jc w:val="right"/>
              <w:rPr>
                <w:sz w:val="22"/>
              </w:rPr>
            </w:pPr>
            <w:r>
              <w:rPr>
                <w:sz w:val="22"/>
              </w:rPr>
              <w:t>13,4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44" w:rsidRDefault="00066E48">
            <w:pPr>
              <w:ind w:firstLine="709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18,1</w:t>
            </w:r>
          </w:p>
        </w:tc>
      </w:tr>
    </w:tbl>
    <w:p w:rsidR="00DD3C44" w:rsidRDefault="00DD3C44">
      <w:pPr>
        <w:jc w:val="both"/>
        <w:rPr>
          <w:sz w:val="16"/>
          <w:highlight w:val="yellow"/>
        </w:rPr>
      </w:pPr>
    </w:p>
    <w:p w:rsidR="00DD3C44" w:rsidRDefault="00066E48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За 2025 год государственный долг Камчатского края увеличился на 4,7</w:t>
      </w:r>
      <w:r>
        <w:rPr>
          <w:sz w:val="28"/>
        </w:rPr>
        <w:t xml:space="preserve"> млрд рублей за счет привлечения в краевой бюджет кредитов от кредитных организаций и бюджетных кредитов из федерального бюджета. 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 xml:space="preserve">Объем государственного долга Камчатского края на 1 января 2026 года составил 31,7 % </w:t>
      </w:r>
      <w:r>
        <w:rPr>
          <w:sz w:val="28"/>
          <w:szCs w:val="28"/>
        </w:rPr>
        <w:t>объема поступивших в краевой бюджет за 20</w:t>
      </w:r>
      <w:r>
        <w:rPr>
          <w:sz w:val="28"/>
          <w:szCs w:val="28"/>
        </w:rPr>
        <w:t>25 год доходов без учета безвозмездных поступлений</w:t>
      </w:r>
      <w:r>
        <w:rPr>
          <w:sz w:val="28"/>
        </w:rPr>
        <w:t>, что находится в пределах норм, установленных статьей 107 Бюджетного кодекса Российской Федерации.</w:t>
      </w:r>
    </w:p>
    <w:p w:rsidR="00DD3C44" w:rsidRDefault="00066E48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Рейтинг кредитоспособности Камчатского края 23.07.2025 подтвержден рейтинговым агентством "Эксперт РА" на </w:t>
      </w:r>
      <w:r>
        <w:rPr>
          <w:sz w:val="28"/>
        </w:rPr>
        <w:t>уровне "</w:t>
      </w:r>
      <w:proofErr w:type="spellStart"/>
      <w:r>
        <w:rPr>
          <w:sz w:val="28"/>
        </w:rPr>
        <w:t>ruA</w:t>
      </w:r>
      <w:proofErr w:type="spellEnd"/>
      <w:r>
        <w:rPr>
          <w:sz w:val="28"/>
        </w:rPr>
        <w:t>+" (умеренно высокий).</w:t>
      </w:r>
    </w:p>
    <w:p w:rsidR="00DD3C44" w:rsidRDefault="00066E48">
      <w:pPr>
        <w:tabs>
          <w:tab w:val="left" w:pos="426"/>
        </w:tabs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По результатам проведенной Минфином России в 2025 году оценки долговой устойчивости субъектов Российской Федерации, Камчатский край отнесен к группе субъектов Российской Федерации с высоким уровнем долговой устойчивости.</w:t>
      </w:r>
    </w:p>
    <w:p w:rsidR="00DD3C44" w:rsidRDefault="00DD3C44">
      <w:pPr>
        <w:tabs>
          <w:tab w:val="left" w:pos="426"/>
        </w:tabs>
        <w:ind w:firstLine="709"/>
        <w:jc w:val="both"/>
        <w:rPr>
          <w:color w:val="auto"/>
          <w:sz w:val="28"/>
        </w:rPr>
      </w:pPr>
    </w:p>
    <w:p w:rsidR="00DD3C44" w:rsidRDefault="00066E48">
      <w:pPr>
        <w:tabs>
          <w:tab w:val="left" w:pos="42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Регулирование контрактной системы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осуществления закупок в Камчатском крае характеризуется следующими результатами количеством контрактов, заключенных заказчиками Камчатского края за 2025 год. По результатам определения поставщиков (подрядчико</w:t>
      </w:r>
      <w:r>
        <w:rPr>
          <w:sz w:val="28"/>
          <w:szCs w:val="28"/>
        </w:rPr>
        <w:t xml:space="preserve">в, исполнителей) заключено 40 245 контрактов на общую сумму </w:t>
      </w:r>
      <w:r>
        <w:rPr>
          <w:sz w:val="28"/>
          <w:szCs w:val="28"/>
        </w:rPr>
        <w:br/>
        <w:t xml:space="preserve">35 471,6 млн рублей, из них по итогам конкурентных способов определения поставщика (подрядчика, исполнителя) на сумму 28 710,47 млн рублей, у </w:t>
      </w:r>
      <w:r>
        <w:rPr>
          <w:sz w:val="28"/>
          <w:szCs w:val="28"/>
        </w:rPr>
        <w:lastRenderedPageBreak/>
        <w:t xml:space="preserve">единственного поставщика (подрядчика, исполнителя) – </w:t>
      </w:r>
      <w:r>
        <w:rPr>
          <w:sz w:val="28"/>
          <w:szCs w:val="28"/>
        </w:rPr>
        <w:t>6 761,13 млн рублей.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экономия средств по итогам состоявшихся конкурентных процедур составила 12 295,09 млн рублей или 39,8 % от начальных (максимальных) цен контрактов.</w:t>
      </w:r>
    </w:p>
    <w:p w:rsidR="00DD3C44" w:rsidRDefault="00DD3C44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DD3C44" w:rsidRDefault="00066E48">
      <w:pPr>
        <w:tabs>
          <w:tab w:val="left" w:pos="42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осуществления внутреннего государственного</w:t>
      </w:r>
    </w:p>
    <w:p w:rsidR="00DD3C44" w:rsidRDefault="00066E48">
      <w:pPr>
        <w:tabs>
          <w:tab w:val="left" w:pos="42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контро</w:t>
      </w:r>
      <w:r>
        <w:rPr>
          <w:sz w:val="28"/>
          <w:szCs w:val="28"/>
        </w:rPr>
        <w:t>ля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Министерством финансов Камчатского края проведено 23 контрольных мероприятия в рамках исполнения полномочий по осуществлению внутреннего государственного финансового контроля. Объем проверенных средств составил 3 146,1 млн рублей. В результа</w:t>
      </w:r>
      <w:r>
        <w:rPr>
          <w:sz w:val="28"/>
          <w:szCs w:val="28"/>
        </w:rPr>
        <w:t>те осуществления внутреннего государственного финансового контроля выявлено 240 нарушений, из которых 76 финансовых на общую сумму 103,4 млн рублей.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устранения выявленных проверками нарушений, а также причин и условий их совершения, руководителям объектов контроля в 2025 году Министерством финансов Камчатского края вынесено 23 представления. 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Министерством финансов Камчатског</w:t>
      </w:r>
      <w:r>
        <w:rPr>
          <w:sz w:val="28"/>
          <w:szCs w:val="28"/>
        </w:rPr>
        <w:t>о края в рамках осуществления внутреннего государственного финансового контроля рассмотрено 43 производства по делам об административных правонарушениях, из которых 5 производств с назначением административного наказания в виде штрафа, 9 административных п</w:t>
      </w:r>
      <w:r>
        <w:rPr>
          <w:sz w:val="28"/>
          <w:szCs w:val="28"/>
        </w:rPr>
        <w:t>роизводств прекращены в связи с отсутствием состава, события административного правонарушения или истечения срока давности привлечения к административной ответственности, по 30 административным производствам вменено административное наказании в виде предуп</w:t>
      </w:r>
      <w:r>
        <w:rPr>
          <w:sz w:val="28"/>
          <w:szCs w:val="28"/>
        </w:rPr>
        <w:t>реждения.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 штрафов, наложенных Министерством финансов Камчатского края в рамках осуществления внутреннего государственного финансового контроля на должностных (физических) лиц и юридических лиц по пяти постановлениям о назначении административных нака</w:t>
      </w:r>
      <w:r>
        <w:rPr>
          <w:sz w:val="28"/>
          <w:szCs w:val="28"/>
        </w:rPr>
        <w:t xml:space="preserve">заний, подлежащая зачислению в краевой бюджет, составила 66,9 тыс. рублей. 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 1.3–3 ст. 32.2 Кодекса Российской Федерации об административных правонарушениях (далее – КоАП РФ) при уплате административного штрафа лицом, привлеченным к адми</w:t>
      </w:r>
      <w:r>
        <w:rPr>
          <w:sz w:val="28"/>
          <w:szCs w:val="28"/>
        </w:rPr>
        <w:t>нистративной ответственности за совершение административного правонарушения, предусмотренного отдельными статьями КоАП РФ, не позднее двадцати дней со дня вынесения постановления о наложении административного штрафа, административный штраф может быть уплач</w:t>
      </w:r>
      <w:r>
        <w:rPr>
          <w:sz w:val="28"/>
          <w:szCs w:val="28"/>
        </w:rPr>
        <w:t xml:space="preserve">ен в размере половины суммы наложенного административного штрафа. 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применением настоящего положения и оплатой по четырем постановлениям о назначении административных наказаний на общую сумму </w:t>
      </w:r>
      <w:r>
        <w:rPr>
          <w:sz w:val="28"/>
          <w:szCs w:val="28"/>
        </w:rPr>
        <w:br/>
        <w:t>46,9 тыс. рублей административных штрафов в размере 50</w:t>
      </w:r>
      <w:r>
        <w:rPr>
          <w:sz w:val="28"/>
          <w:szCs w:val="28"/>
        </w:rPr>
        <w:t xml:space="preserve">%, а также оплатой по одному постановлению о назначении административного наказания 100 % суммы штрафа в размере 20,0 тыс. рублей, исполнение в целом составило 43,4 тыс. рублей  или 64,9 % от общей суммы наложенных административных штрафов. 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</w:t>
      </w:r>
      <w:r>
        <w:rPr>
          <w:sz w:val="28"/>
          <w:szCs w:val="28"/>
        </w:rPr>
        <w:t xml:space="preserve">иоде Министру финансов Камчатского края как вышестоящему </w:t>
      </w:r>
      <w:r>
        <w:rPr>
          <w:sz w:val="28"/>
          <w:szCs w:val="28"/>
        </w:rPr>
        <w:lastRenderedPageBreak/>
        <w:t>должностному лицу не поступали на рассмотрение жалобы на постановления по делам об административных правонарушениях, предписания, представления и действия (бездействие) должностных лиц Министерства ф</w:t>
      </w:r>
      <w:r>
        <w:rPr>
          <w:sz w:val="28"/>
          <w:szCs w:val="28"/>
        </w:rPr>
        <w:t>инансов Камчатского края в рамках осуществления ими полномочий по внутреннему государственному финансовому контролю.</w:t>
      </w:r>
    </w:p>
    <w:p w:rsidR="00DD3C44" w:rsidRDefault="00066E48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судебные органы поступила одна жалоба должностного лица Министерства социального благополучия и семейной политики Камч</w:t>
      </w:r>
      <w:r>
        <w:rPr>
          <w:sz w:val="28"/>
          <w:szCs w:val="28"/>
        </w:rPr>
        <w:t>атского края на постановление начальника контрольного управления Министерства финансов Камчатского края по делу об административном правонарушении. Решением Петропавловск-Камчатского городского суда от 05.02.2026 по делу № 12-27/2026 заявителю отказано в у</w:t>
      </w:r>
      <w:r>
        <w:rPr>
          <w:sz w:val="28"/>
          <w:szCs w:val="28"/>
        </w:rPr>
        <w:t xml:space="preserve">довлетворении жалобы. Постановление начальника контрольного управления Министерства финансов Камчатского края от 23.12.2025 </w:t>
      </w:r>
      <w:r>
        <w:rPr>
          <w:sz w:val="28"/>
          <w:szCs w:val="28"/>
        </w:rPr>
        <w:br/>
        <w:t>№ 105, вынесенное в отношении должностного лица Министерства социального благополучия и семейной политики Камчатского края по части</w:t>
      </w:r>
      <w:r>
        <w:rPr>
          <w:sz w:val="28"/>
          <w:szCs w:val="28"/>
        </w:rPr>
        <w:t xml:space="preserve"> 2 статьи 15.15.7 КоАП РФ, оставлено без изменения, а также одна апелляционная жалоба Министерства социального благополучия и семейной политики Камчатского края на решение Арбитражного суда Камчатского края от 25.03.2025 по делу № А24-5625/2024, которым уд</w:t>
      </w:r>
      <w:r>
        <w:rPr>
          <w:sz w:val="28"/>
          <w:szCs w:val="28"/>
        </w:rPr>
        <w:t>овлетворено частично заявление Министерства социального благополучия и семейной политики Камчатского края и признаны недействительными пункты 3, 4 представления Министерства финансов Камчатского края от 02.09.2024 № 16 и соответствующие им пункты резолютив</w:t>
      </w:r>
      <w:r>
        <w:rPr>
          <w:sz w:val="28"/>
          <w:szCs w:val="28"/>
        </w:rPr>
        <w:t>ной части представления, а именно пункт 2 в части указания по пунктам 3, 4 принять меры по устранению причин и условий нарушений, как несоответствующие Федеральному закону от 05.04.2013 № 44-ФЗ "О контрактной системе в сфере закупок товаров, работ, услуг д</w:t>
      </w:r>
      <w:r>
        <w:rPr>
          <w:sz w:val="28"/>
          <w:szCs w:val="28"/>
        </w:rPr>
        <w:t>ля обеспечения государственных и муниципальных нужд", и отказано в удовлетворении остальной части заявленных требований. Постановлением Пятого арбитражного апелляционного суда от 18.06.2025 № 05АП-2199/2025 решение Арбитражного суда Камчатского края от 25.</w:t>
      </w:r>
      <w:r>
        <w:rPr>
          <w:sz w:val="28"/>
          <w:szCs w:val="28"/>
        </w:rPr>
        <w:t>03.2025 по делу №А24-5625/2024 в обжалуемой части оставлено без изменения, апелляционная жалоба без удовлетворения.</w:t>
      </w:r>
    </w:p>
    <w:p w:rsidR="00DD3C44" w:rsidRDefault="00DD3C44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DD3C44" w:rsidRDefault="00066E48">
      <w:pPr>
        <w:jc w:val="center"/>
        <w:rPr>
          <w:sz w:val="28"/>
        </w:rPr>
      </w:pPr>
      <w:r>
        <w:rPr>
          <w:sz w:val="28"/>
        </w:rPr>
        <w:t>Анализ отчетности об исполнении краевого бюджета и консолидированного бюджета Камчатского края за 2025 год</w:t>
      </w:r>
    </w:p>
    <w:p w:rsidR="00DD3C44" w:rsidRDefault="00DD3C44">
      <w:pPr>
        <w:jc w:val="center"/>
        <w:rPr>
          <w:sz w:val="28"/>
        </w:rPr>
      </w:pP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Показатели бюджетной отчетности об исполнении краевого бюджета и консолидированного бюджета Камчатского края сформированы с учетом требований приказов Минфина России от 01.12.2021 № 157н, от 06.12.2021 № 162н, от 28.12.2010 № 191н, положений Федеральных ст</w:t>
      </w:r>
      <w:r>
        <w:rPr>
          <w:sz w:val="28"/>
        </w:rPr>
        <w:t xml:space="preserve">андартов, с учетом особенностей, указанных в совместном письме Минфина России и Федерального казначейства </w:t>
      </w:r>
      <w:r>
        <w:rPr>
          <w:sz w:val="28"/>
          <w:szCs w:val="28"/>
        </w:rPr>
        <w:t>от 23.01.2026                № 02-07-08/4301 и № 07-04-05/02-1418 соответственно.</w:t>
      </w:r>
    </w:p>
    <w:p w:rsidR="00DD3C44" w:rsidRDefault="00DD3C44">
      <w:pPr>
        <w:ind w:firstLine="709"/>
        <w:jc w:val="both"/>
        <w:rPr>
          <w:sz w:val="28"/>
        </w:rPr>
      </w:pPr>
    </w:p>
    <w:p w:rsidR="00DD3C44" w:rsidRDefault="00066E48">
      <w:pPr>
        <w:jc w:val="center"/>
        <w:rPr>
          <w:sz w:val="28"/>
        </w:rPr>
      </w:pPr>
      <w:r>
        <w:rPr>
          <w:sz w:val="28"/>
        </w:rPr>
        <w:t>Анализ отчетности об исполнении краевого бюджета за 2025 год</w:t>
      </w:r>
    </w:p>
    <w:p w:rsidR="00DD3C44" w:rsidRDefault="00066E48">
      <w:pPr>
        <w:ind w:firstLine="709"/>
        <w:jc w:val="both"/>
        <w:rPr>
          <w:i/>
          <w:sz w:val="28"/>
        </w:rPr>
      </w:pPr>
      <w:r>
        <w:rPr>
          <w:i/>
          <w:sz w:val="28"/>
        </w:rPr>
        <w:t>По фор</w:t>
      </w:r>
      <w:r>
        <w:rPr>
          <w:i/>
          <w:sz w:val="28"/>
        </w:rPr>
        <w:t>ме 0503169 "Сведения по дебиторской и кредиторской задолженности".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Дебиторская задолженность краевого бюджета на 01.01.2026 составила </w:t>
      </w:r>
      <w:r>
        <w:rPr>
          <w:sz w:val="28"/>
        </w:rPr>
        <w:br/>
        <w:t xml:space="preserve">241,6 млрд рублей, в том числе просроченная дебиторская задолженность – </w:t>
      </w:r>
      <w:r>
        <w:rPr>
          <w:sz w:val="28"/>
        </w:rPr>
        <w:br/>
        <w:t xml:space="preserve">837,0 млн рублей.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В общем объеме просроченной д</w:t>
      </w:r>
      <w:r>
        <w:rPr>
          <w:sz w:val="28"/>
        </w:rPr>
        <w:t>ебиторской задолженности: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112,7 млн рублей – задолженность по договорам аренды земельных участков, из которой </w:t>
      </w:r>
      <w:r>
        <w:rPr>
          <w:sz w:val="28"/>
          <w:szCs w:val="28"/>
          <w:shd w:val="clear" w:color="auto" w:fill="FFFFFF"/>
        </w:rPr>
        <w:t>22,4 млн рублей – задолженность ООО "Урал", образовавшаяся в 2022 году по расторгнутым договорам аренды лесных участков по заготовке древесины. Оп</w:t>
      </w:r>
      <w:r>
        <w:rPr>
          <w:sz w:val="28"/>
          <w:szCs w:val="28"/>
          <w:shd w:val="clear" w:color="auto" w:fill="FFFFFF"/>
        </w:rPr>
        <w:t xml:space="preserve">ределениями Арбитражного суда в 2023 году утверждено 8 мировых соглашений о поэтапном погашении задолженности в течении 5 лет (утверждены графики погашения задолженности и пени). 2 мировых соглашения полностью погашены в 2025 году, оставшиеся 6 соглашений </w:t>
      </w:r>
      <w:r>
        <w:rPr>
          <w:sz w:val="28"/>
          <w:szCs w:val="28"/>
          <w:shd w:val="clear" w:color="auto" w:fill="FFFFFF"/>
        </w:rPr>
        <w:t>со сроком погашения - 2027 год;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20,2 млн рублей – задолженность по исполнительному листу в отношении ГКФХ </w:t>
      </w:r>
      <w:proofErr w:type="spellStart"/>
      <w:r>
        <w:rPr>
          <w:sz w:val="28"/>
          <w:szCs w:val="28"/>
        </w:rPr>
        <w:t>Мухамедшиной</w:t>
      </w:r>
      <w:proofErr w:type="spellEnd"/>
      <w:r>
        <w:rPr>
          <w:sz w:val="28"/>
          <w:szCs w:val="28"/>
        </w:rPr>
        <w:t xml:space="preserve"> А.В. в части возврата средств гранта на развитие семейных животноводческих ферм;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53,9 млн рублей – задолженность ООО "</w:t>
      </w:r>
      <w:proofErr w:type="spellStart"/>
      <w:r>
        <w:rPr>
          <w:sz w:val="28"/>
          <w:szCs w:val="28"/>
        </w:rPr>
        <w:t>БраНс</w:t>
      </w:r>
      <w:proofErr w:type="spellEnd"/>
      <w:r>
        <w:rPr>
          <w:sz w:val="28"/>
          <w:szCs w:val="28"/>
        </w:rPr>
        <w:t xml:space="preserve"> СК" по предва</w:t>
      </w:r>
      <w:r>
        <w:rPr>
          <w:sz w:val="28"/>
          <w:szCs w:val="28"/>
        </w:rPr>
        <w:t xml:space="preserve">рительной оплате за выполнение строительно-монтажных работ по объекту: Детский сад на 150 мест в п. </w:t>
      </w:r>
      <w:proofErr w:type="spellStart"/>
      <w:r>
        <w:rPr>
          <w:sz w:val="28"/>
          <w:szCs w:val="28"/>
        </w:rPr>
        <w:t>Оссора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Карагинского</w:t>
      </w:r>
      <w:proofErr w:type="spellEnd"/>
      <w:r>
        <w:rPr>
          <w:sz w:val="28"/>
          <w:szCs w:val="28"/>
        </w:rPr>
        <w:t xml:space="preserve"> района. Определением Арбитражного суда Новосибирской области задолженность включена в реестр требований кредиторов должника. По решению </w:t>
      </w:r>
      <w:r>
        <w:rPr>
          <w:sz w:val="28"/>
          <w:szCs w:val="28"/>
        </w:rPr>
        <w:t>Арбитражного суда Новосибирской области ООО "</w:t>
      </w:r>
      <w:proofErr w:type="spellStart"/>
      <w:r>
        <w:rPr>
          <w:sz w:val="28"/>
          <w:szCs w:val="28"/>
        </w:rPr>
        <w:t>БраНс</w:t>
      </w:r>
      <w:proofErr w:type="spellEnd"/>
      <w:r>
        <w:rPr>
          <w:sz w:val="28"/>
          <w:szCs w:val="28"/>
        </w:rPr>
        <w:t xml:space="preserve"> СК" признано несостоятельным и в отношении него открыто конкурсное производство;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15,5 млн рублей – задолженность ООО "</w:t>
      </w:r>
      <w:proofErr w:type="spellStart"/>
      <w:r>
        <w:rPr>
          <w:sz w:val="28"/>
          <w:szCs w:val="28"/>
        </w:rPr>
        <w:t>БраНс</w:t>
      </w:r>
      <w:proofErr w:type="spellEnd"/>
      <w:r>
        <w:rPr>
          <w:sz w:val="28"/>
          <w:szCs w:val="28"/>
        </w:rPr>
        <w:t xml:space="preserve"> СК" по предварительной оплате в рамках контракта от 11.06.2016 на выполнение рабо</w:t>
      </w:r>
      <w:r>
        <w:rPr>
          <w:sz w:val="28"/>
          <w:szCs w:val="28"/>
        </w:rPr>
        <w:t xml:space="preserve">т по строительству объекта: Детский сад на 200 мест в п. Ключи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района, невозвращенной контрагентом после расторжения контракта. Судом вынесено решение о взыскании долга с ООО "</w:t>
      </w:r>
      <w:proofErr w:type="spellStart"/>
      <w:r>
        <w:rPr>
          <w:sz w:val="28"/>
          <w:szCs w:val="28"/>
        </w:rPr>
        <w:t>БраНс</w:t>
      </w:r>
      <w:proofErr w:type="spellEnd"/>
      <w:r>
        <w:rPr>
          <w:sz w:val="28"/>
          <w:szCs w:val="28"/>
        </w:rPr>
        <w:t xml:space="preserve"> СК";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40,9 млн рублей – задолженность ООО "</w:t>
      </w:r>
      <w:proofErr w:type="spellStart"/>
      <w:r>
        <w:rPr>
          <w:sz w:val="28"/>
          <w:szCs w:val="28"/>
        </w:rPr>
        <w:t>Коммунтехцентр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Камчатка" по предварительной оплате в рамках государственного контракта от 08.11.2011 на выполнение строительно-монтажных работ по объекту: "Строительство Сельского учебного комплекса в с. Усть-Хайрюзово </w:t>
      </w:r>
      <w:proofErr w:type="spellStart"/>
      <w:r>
        <w:rPr>
          <w:sz w:val="28"/>
          <w:szCs w:val="28"/>
        </w:rPr>
        <w:t>Тигильского</w:t>
      </w:r>
      <w:proofErr w:type="spellEnd"/>
      <w:r>
        <w:rPr>
          <w:sz w:val="28"/>
          <w:szCs w:val="28"/>
        </w:rPr>
        <w:t xml:space="preserve"> муниципального района", невозвращенная к</w:t>
      </w:r>
      <w:r>
        <w:rPr>
          <w:sz w:val="28"/>
          <w:szCs w:val="28"/>
        </w:rPr>
        <w:t>онтрагентом после расторжения контракта.</w:t>
      </w:r>
      <w:r>
        <w:t xml:space="preserve"> </w:t>
      </w:r>
      <w:r>
        <w:rPr>
          <w:sz w:val="28"/>
          <w:szCs w:val="28"/>
        </w:rPr>
        <w:t>Задолженность по контракту включена в реестр требований кредиторов должника;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40,0 рублей – ООО "</w:t>
      </w:r>
      <w:proofErr w:type="spellStart"/>
      <w:r>
        <w:rPr>
          <w:sz w:val="28"/>
          <w:szCs w:val="28"/>
        </w:rPr>
        <w:t>Коммунтехцентр</w:t>
      </w:r>
      <w:proofErr w:type="spellEnd"/>
      <w:r>
        <w:rPr>
          <w:sz w:val="28"/>
          <w:szCs w:val="28"/>
        </w:rPr>
        <w:t>-Камчатка" задолженность по предварительной оплате в рамках договора от 01.01.2013 на выполнение строител</w:t>
      </w:r>
      <w:r>
        <w:rPr>
          <w:sz w:val="28"/>
          <w:szCs w:val="28"/>
        </w:rPr>
        <w:t>ьно-монтажных работ на объекте: "Школа на 400 мест в с. Эссо", невозвращенной контрагентом после расторжения контракта. По решению Арбитражного суда Камчатского края ООО "</w:t>
      </w:r>
      <w:proofErr w:type="spellStart"/>
      <w:r>
        <w:rPr>
          <w:sz w:val="28"/>
          <w:szCs w:val="28"/>
        </w:rPr>
        <w:t>Коммунтехцентр</w:t>
      </w:r>
      <w:proofErr w:type="spellEnd"/>
      <w:r>
        <w:rPr>
          <w:sz w:val="28"/>
          <w:szCs w:val="28"/>
        </w:rPr>
        <w:t>-Камчатка" признано несостоятельным и в отношении него открыто конкурсн</w:t>
      </w:r>
      <w:r>
        <w:rPr>
          <w:sz w:val="28"/>
          <w:szCs w:val="28"/>
        </w:rPr>
        <w:t>ое производство. Задолженность по контракту включена в реестр требований кредиторов должника;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30,8 млн рублей – задолженность ООО "</w:t>
      </w:r>
      <w:proofErr w:type="spellStart"/>
      <w:r>
        <w:rPr>
          <w:sz w:val="28"/>
          <w:szCs w:val="28"/>
        </w:rPr>
        <w:t>МираСтрой</w:t>
      </w:r>
      <w:proofErr w:type="spellEnd"/>
      <w:r>
        <w:rPr>
          <w:sz w:val="28"/>
          <w:szCs w:val="28"/>
        </w:rPr>
        <w:t>"</w:t>
      </w:r>
      <w:r>
        <w:rPr>
          <w:sz w:val="28"/>
          <w:szCs w:val="28"/>
        </w:rPr>
        <w:t xml:space="preserve"> по предварительной оплате за работы по строительству объекта "Реконструкция здания КГБУ ДО "Корякская школа искусств им. Д.Б. </w:t>
      </w:r>
      <w:proofErr w:type="spellStart"/>
      <w:r>
        <w:rPr>
          <w:sz w:val="28"/>
          <w:szCs w:val="28"/>
        </w:rPr>
        <w:t>Кабалевского</w:t>
      </w:r>
      <w:proofErr w:type="spellEnd"/>
      <w:r>
        <w:rPr>
          <w:sz w:val="28"/>
          <w:szCs w:val="28"/>
        </w:rPr>
        <w:t xml:space="preserve">", невозвращенной контрагентом после расторжения контракта. Судом вынесено решение о взыскании долга с </w:t>
      </w:r>
      <w:r>
        <w:rPr>
          <w:sz w:val="28"/>
          <w:szCs w:val="28"/>
        </w:rPr>
        <w:br/>
        <w:t>ООО "</w:t>
      </w:r>
      <w:proofErr w:type="spellStart"/>
      <w:r>
        <w:rPr>
          <w:sz w:val="28"/>
          <w:szCs w:val="28"/>
        </w:rPr>
        <w:t>Мирастро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";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184,4 млн рублей – перечислен аванс согласно условиям государственного контракта от 29.05.2023 № 6 ООО "</w:t>
      </w:r>
      <w:proofErr w:type="spellStart"/>
      <w:r>
        <w:rPr>
          <w:sz w:val="28"/>
          <w:szCs w:val="28"/>
          <w:shd w:val="clear" w:color="auto" w:fill="FFFFFF"/>
        </w:rPr>
        <w:t>Альфаснаб</w:t>
      </w:r>
      <w:proofErr w:type="spellEnd"/>
      <w:r>
        <w:rPr>
          <w:sz w:val="28"/>
          <w:szCs w:val="28"/>
          <w:shd w:val="clear" w:color="auto" w:fill="FFFFFF"/>
        </w:rPr>
        <w:t xml:space="preserve">" в сумме 73,6 млн рублей на реконструкцию мостового перехода через р. Железная -1 на 9 км автомобильной дороги </w:t>
      </w:r>
      <w:proofErr w:type="gramStart"/>
      <w:r>
        <w:rPr>
          <w:sz w:val="28"/>
          <w:szCs w:val="28"/>
          <w:shd w:val="clear" w:color="auto" w:fill="FFFFFF"/>
        </w:rPr>
        <w:t>"</w:t>
      </w:r>
      <w:proofErr w:type="gramEnd"/>
      <w:r>
        <w:rPr>
          <w:sz w:val="28"/>
          <w:szCs w:val="28"/>
          <w:shd w:val="clear" w:color="auto" w:fill="FFFFFF"/>
        </w:rPr>
        <w:t xml:space="preserve">Садовое кольцо", в </w:t>
      </w:r>
      <w:proofErr w:type="spellStart"/>
      <w:r>
        <w:rPr>
          <w:sz w:val="28"/>
          <w:szCs w:val="28"/>
          <w:shd w:val="clear" w:color="auto" w:fill="FFFFFF"/>
        </w:rPr>
        <w:t>Елизовс</w:t>
      </w:r>
      <w:r>
        <w:rPr>
          <w:sz w:val="28"/>
          <w:szCs w:val="28"/>
          <w:shd w:val="clear" w:color="auto" w:fill="FFFFFF"/>
        </w:rPr>
        <w:t>ком</w:t>
      </w:r>
      <w:proofErr w:type="spellEnd"/>
      <w:r>
        <w:rPr>
          <w:sz w:val="28"/>
          <w:szCs w:val="28"/>
          <w:shd w:val="clear" w:color="auto" w:fill="FFFFFF"/>
        </w:rPr>
        <w:t xml:space="preserve"> районе Камчатского края.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На основании решения Арбитражного суда Камчатского края признан недействительным электронный аукцион и государственный контракт.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Перечислен аванс согласно условиям государственного контракта от 29.05.2023 № 7 ООО "</w:t>
      </w:r>
      <w:proofErr w:type="spellStart"/>
      <w:r>
        <w:rPr>
          <w:sz w:val="28"/>
          <w:szCs w:val="28"/>
          <w:shd w:val="clear" w:color="auto" w:fill="FFFFFF"/>
        </w:rPr>
        <w:t>Альфаснаб</w:t>
      </w:r>
      <w:proofErr w:type="spellEnd"/>
      <w:r>
        <w:rPr>
          <w:sz w:val="28"/>
          <w:szCs w:val="28"/>
          <w:shd w:val="clear" w:color="auto" w:fill="FFFFFF"/>
        </w:rPr>
        <w:t xml:space="preserve">" в </w:t>
      </w:r>
      <w:r>
        <w:rPr>
          <w:sz w:val="28"/>
          <w:szCs w:val="28"/>
          <w:shd w:val="clear" w:color="auto" w:fill="FFFFFF"/>
        </w:rPr>
        <w:t>сумме 110,8 млн рублей на реконструкцию мостового перехода через р. Железная - 2 на 12 км автомобильной дороги "Садовое кольцо</w:t>
      </w:r>
      <w:proofErr w:type="gramStart"/>
      <w:r>
        <w:rPr>
          <w:sz w:val="28"/>
          <w:szCs w:val="28"/>
          <w:shd w:val="clear" w:color="auto" w:fill="FFFFFF"/>
        </w:rPr>
        <w:t>"</w:t>
      </w:r>
      <w:proofErr w:type="gramEnd"/>
      <w:r>
        <w:rPr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sz w:val="28"/>
          <w:szCs w:val="28"/>
          <w:shd w:val="clear" w:color="auto" w:fill="FFFFFF"/>
        </w:rPr>
        <w:t>Елизовском</w:t>
      </w:r>
      <w:proofErr w:type="spellEnd"/>
      <w:r>
        <w:rPr>
          <w:sz w:val="28"/>
          <w:szCs w:val="28"/>
          <w:shd w:val="clear" w:color="auto" w:fill="FFFFFF"/>
        </w:rPr>
        <w:t xml:space="preserve"> районе Камчатского края.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На основании решения Арбитражного суда Камчатского края электронный аукцион и государствен</w:t>
      </w:r>
      <w:r>
        <w:rPr>
          <w:sz w:val="28"/>
          <w:szCs w:val="28"/>
          <w:shd w:val="clear" w:color="auto" w:fill="FFFFFF"/>
        </w:rPr>
        <w:t>ный контракт признаны недействительными.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На основании определения Арбитражного суда Камчатского края принято к производству заявление о признании ООО "</w:t>
      </w:r>
      <w:proofErr w:type="spellStart"/>
      <w:r>
        <w:rPr>
          <w:sz w:val="28"/>
          <w:szCs w:val="28"/>
          <w:shd w:val="clear" w:color="auto" w:fill="FFFFFF"/>
        </w:rPr>
        <w:t>Альфаснаб</w:t>
      </w:r>
      <w:proofErr w:type="spellEnd"/>
      <w:r>
        <w:rPr>
          <w:sz w:val="28"/>
          <w:szCs w:val="28"/>
          <w:shd w:val="clear" w:color="auto" w:fill="FFFFFF"/>
        </w:rPr>
        <w:t>" несостоятельным (банкротом). КГКУ "</w:t>
      </w:r>
      <w:proofErr w:type="spellStart"/>
      <w:r>
        <w:rPr>
          <w:sz w:val="28"/>
          <w:szCs w:val="28"/>
          <w:shd w:val="clear" w:color="auto" w:fill="FFFFFF"/>
        </w:rPr>
        <w:t>Камчатуправтодор</w:t>
      </w:r>
      <w:proofErr w:type="spellEnd"/>
      <w:r>
        <w:rPr>
          <w:sz w:val="28"/>
          <w:szCs w:val="28"/>
          <w:shd w:val="clear" w:color="auto" w:fill="FFFFFF"/>
        </w:rPr>
        <w:t>" включено в реестр требований кредиторов д</w:t>
      </w:r>
      <w:r>
        <w:rPr>
          <w:sz w:val="28"/>
          <w:szCs w:val="28"/>
          <w:shd w:val="clear" w:color="auto" w:fill="FFFFFF"/>
        </w:rPr>
        <w:t>олжника.</w:t>
      </w:r>
    </w:p>
    <w:p w:rsidR="00DD3C44" w:rsidRDefault="00066E48">
      <w:pPr>
        <w:spacing w:line="252" w:lineRule="auto"/>
        <w:ind w:firstLine="709"/>
        <w:jc w:val="both"/>
        <w:rPr>
          <w:sz w:val="28"/>
        </w:rPr>
      </w:pPr>
      <w:r>
        <w:rPr>
          <w:sz w:val="28"/>
        </w:rPr>
        <w:tab/>
        <w:t>Кредиторская задолженность краевого бюджета по состоянию на 01.01.2026 составила 25,2 млрд рублей. Рост кредиторской задолженности связан с использованием бюджетом Камчатского края механизма пополнения единого счета краевого бюджета за счет свобо</w:t>
      </w:r>
      <w:r>
        <w:rPr>
          <w:sz w:val="28"/>
        </w:rPr>
        <w:t xml:space="preserve">дных остатков средств с казначейских счетов.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В 2025 году на единый счет бюджета привлечено 1,7 млрд рублей, остаток на конец отчетного финансового года на едином счете бюджета за счет привлеченных свободных остатков средств с казначейских счетов сложился </w:t>
      </w:r>
      <w:r>
        <w:rPr>
          <w:sz w:val="28"/>
        </w:rPr>
        <w:t xml:space="preserve">в размере </w:t>
      </w:r>
      <w:r>
        <w:rPr>
          <w:sz w:val="28"/>
        </w:rPr>
        <w:br/>
        <w:t>15,9 млрд рублей или 63,1 % от общей суммы кредиторской задолженности по состоянию на 01.01.2026.</w:t>
      </w:r>
    </w:p>
    <w:p w:rsidR="00DD3C44" w:rsidRDefault="00066E48">
      <w:pPr>
        <w:spacing w:line="252" w:lineRule="auto"/>
        <w:ind w:firstLine="709"/>
        <w:jc w:val="both"/>
        <w:rPr>
          <w:sz w:val="28"/>
        </w:rPr>
      </w:pPr>
      <w:r>
        <w:rPr>
          <w:sz w:val="28"/>
        </w:rPr>
        <w:t>Просроченная кредиторская задолженность по состоянию на 01.01.2026 составила 5,2 млрд рублей: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218,4 млн рублей – задолженность бюджета Камчатского </w:t>
      </w:r>
      <w:r>
        <w:rPr>
          <w:sz w:val="28"/>
          <w:szCs w:val="28"/>
        </w:rPr>
        <w:t xml:space="preserve">края перед КГУП "Камчатский водоканал" по предоставлению субсидий юридическим лицам на возмещение предприятиям коммунального комплекса недополученных доходов в связи с оказанием потребителям коммунальных услуг по льготным тарифам; 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  <w:szCs w:val="28"/>
        </w:rPr>
        <w:t>5,0 млрд рублей – задолж</w:t>
      </w:r>
      <w:r>
        <w:rPr>
          <w:sz w:val="28"/>
          <w:szCs w:val="28"/>
        </w:rPr>
        <w:t>енность бюджета Камчатского края по предоставлению субсидий юридическим лицам в целях возмещения недополученных доходов, в связи с оказанием услуг по отпуску электрической энергии населению и приравненных к нему категориям потребителей по льготным тарифам,</w:t>
      </w:r>
      <w:r>
        <w:rPr>
          <w:sz w:val="28"/>
          <w:szCs w:val="28"/>
        </w:rPr>
        <w:t xml:space="preserve"> в том числе: ПАО "Камчатскэнерго" – 3,9 млн рублей; АО "</w:t>
      </w:r>
      <w:proofErr w:type="spellStart"/>
      <w:r>
        <w:rPr>
          <w:sz w:val="28"/>
          <w:szCs w:val="28"/>
        </w:rPr>
        <w:t>Камчатэнергосервис</w:t>
      </w:r>
      <w:proofErr w:type="spellEnd"/>
      <w:r>
        <w:rPr>
          <w:sz w:val="28"/>
          <w:szCs w:val="28"/>
        </w:rPr>
        <w:t>" – 263,3 млн рублей; АО "</w:t>
      </w:r>
      <w:proofErr w:type="spellStart"/>
      <w:r>
        <w:rPr>
          <w:sz w:val="28"/>
          <w:szCs w:val="28"/>
        </w:rPr>
        <w:t>Корякэнерго</w:t>
      </w:r>
      <w:proofErr w:type="spellEnd"/>
      <w:r>
        <w:rPr>
          <w:sz w:val="28"/>
          <w:szCs w:val="28"/>
        </w:rPr>
        <w:t>" – 347,9 млн рублей; АО "Южные электрические сети Камчатки" – 494,4 млн рублей</w:t>
      </w:r>
      <w:r>
        <w:rPr>
          <w:sz w:val="28"/>
        </w:rPr>
        <w:t>.</w:t>
      </w:r>
    </w:p>
    <w:p w:rsidR="00DD3C44" w:rsidRDefault="00066E48">
      <w:pPr>
        <w:ind w:firstLine="709"/>
        <w:jc w:val="both"/>
        <w:rPr>
          <w:i/>
          <w:sz w:val="28"/>
        </w:rPr>
      </w:pPr>
      <w:r>
        <w:rPr>
          <w:i/>
          <w:sz w:val="28"/>
        </w:rPr>
        <w:t>Иная информация.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Бюджетная отчетность главными администраторами</w:t>
      </w:r>
      <w:r>
        <w:rPr>
          <w:sz w:val="28"/>
        </w:rPr>
        <w:t xml:space="preserve"> средств краевого бюджета представлена в сроки, установленные приказом Министерства финансов Камчатского края от 17.12.2025 № 80-Н.</w:t>
      </w:r>
    </w:p>
    <w:p w:rsidR="00DD3C44" w:rsidRDefault="00DD3C44">
      <w:pPr>
        <w:ind w:firstLine="709"/>
        <w:jc w:val="both"/>
        <w:rPr>
          <w:sz w:val="28"/>
        </w:rPr>
      </w:pPr>
    </w:p>
    <w:p w:rsidR="00DD3C44" w:rsidRDefault="00066E48">
      <w:pPr>
        <w:jc w:val="center"/>
        <w:rPr>
          <w:sz w:val="28"/>
        </w:rPr>
      </w:pPr>
      <w:r>
        <w:rPr>
          <w:sz w:val="28"/>
        </w:rPr>
        <w:t xml:space="preserve">Анализ отчетности об исполнении консолидированного бюджета </w:t>
      </w:r>
      <w:r>
        <w:rPr>
          <w:sz w:val="28"/>
        </w:rPr>
        <w:br/>
        <w:t>Камчатского края за 2025 год</w:t>
      </w:r>
    </w:p>
    <w:p w:rsidR="00DD3C44" w:rsidRDefault="00066E48">
      <w:pPr>
        <w:pStyle w:val="10"/>
        <w:spacing w:line="252" w:lineRule="auto"/>
        <w:ind w:firstLine="708"/>
        <w:jc w:val="both"/>
        <w:rPr>
          <w:rFonts w:ascii="Times New Roman" w:hAnsi="Times New Roman"/>
          <w:b w:val="0"/>
          <w:bCs/>
          <w:i/>
          <w:color w:val="auto"/>
          <w:sz w:val="28"/>
          <w:szCs w:val="28"/>
        </w:rPr>
      </w:pPr>
      <w:r>
        <w:rPr>
          <w:rFonts w:ascii="Times New Roman" w:hAnsi="Times New Roman"/>
          <w:b w:val="0"/>
          <w:bCs/>
          <w:i/>
          <w:color w:val="auto"/>
          <w:sz w:val="28"/>
          <w:szCs w:val="28"/>
        </w:rPr>
        <w:lastRenderedPageBreak/>
        <w:t>Форма 0503320 "Баланс исполнения к</w:t>
      </w:r>
      <w:r>
        <w:rPr>
          <w:rFonts w:ascii="Times New Roman" w:hAnsi="Times New Roman"/>
          <w:b w:val="0"/>
          <w:bCs/>
          <w:i/>
          <w:color w:val="auto"/>
          <w:sz w:val="28"/>
          <w:szCs w:val="28"/>
        </w:rPr>
        <w:t>онсолидированного бюджета субъекта Российской Федерации и бюджета территориального государственного внебюджетного фонда"</w:t>
      </w: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показатели баланса (графа 17) по счетам бюджетного учета 1 205 51 000, 1 205 61 000, 1 401 40 151 и 1 401 40 161 включены начисленные</w:t>
      </w:r>
      <w:r>
        <w:rPr>
          <w:sz w:val="28"/>
          <w:szCs w:val="28"/>
        </w:rPr>
        <w:t xml:space="preserve"> доходы будущих периодов по предоставляемым бюджету Камчатского края и бюджету Территориального фонда обязательного медицинского страхования Камчатского края в 2025 – 2027 годах межбюджетным трансфертам из федерального бюджета, которые соответствуют показа</w:t>
      </w:r>
      <w:r>
        <w:rPr>
          <w:sz w:val="28"/>
          <w:szCs w:val="28"/>
        </w:rPr>
        <w:t>телям, отраженным в Справках по консолидируемым расчетам (ф. 0503125) и в графе 17 Сведений по дебиторской и кредиторской задолженности (ф. 0503369), в том числе:</w:t>
      </w: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счету бюджетного учета 1 205 51 000 – 208,6 млрд рублей;</w:t>
      </w: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счету бюджетного учета 1 205 6</w:t>
      </w:r>
      <w:r>
        <w:rPr>
          <w:sz w:val="28"/>
          <w:szCs w:val="28"/>
        </w:rPr>
        <w:t>1 000 – 27,1 млрд рублей;</w:t>
      </w: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счету бюджетного учета 1 401 40 151 – 218,6 млрд рублей;</w:t>
      </w: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счету бюджетного учета 1 401 40 161 – 39,4 млрд рублей.</w:t>
      </w:r>
    </w:p>
    <w:p w:rsidR="00DD3C44" w:rsidRDefault="00066E48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Форма 0503317 "Отчет об исполнении консолидированного бюджета субъекта Российской Федерации и бюджета территориального государственного внебюджетного фонда".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Доходы консолидированного бюджета Камчатского края за 2025 год составили 174,3 млрд рублей или 117</w:t>
      </w:r>
      <w:r>
        <w:rPr>
          <w:sz w:val="28"/>
        </w:rPr>
        <w:t>,0 % от прогнозных (плановых) назначений, в том числе исполнение налоговых и неналоговых доходов – 80,7 млрд рублей или 105,9 % от прогнозных (плановых) назначений.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Исполнение по расходам составило 173,3 млрд рублей или 96,5 % от утвержденных ассигнований.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>По итогам исполнения сложился профицит в размере 1,0 млрд рублей при плановом дефиците 9,3 млрд рублей.</w:t>
      </w:r>
    </w:p>
    <w:p w:rsidR="00DD3C44" w:rsidRDefault="00066E48">
      <w:pPr>
        <w:ind w:firstLine="709"/>
        <w:jc w:val="both"/>
        <w:rPr>
          <w:i/>
          <w:sz w:val="28"/>
        </w:rPr>
      </w:pPr>
      <w:r>
        <w:rPr>
          <w:i/>
          <w:sz w:val="28"/>
        </w:rPr>
        <w:t>Форма 0503369 "Сведения по дебиторской и кредиторской задолженности".</w:t>
      </w:r>
    </w:p>
    <w:p w:rsidR="00DD3C44" w:rsidRDefault="00066E48">
      <w:pPr>
        <w:spacing w:line="252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Дебиторская задолженность </w:t>
      </w:r>
      <w:r>
        <w:rPr>
          <w:sz w:val="28"/>
          <w:szCs w:val="28"/>
        </w:rPr>
        <w:t>консолидированного бюджета Камчатского края на 01.01.2026 составила 248,2 млрд рублей, в том числе просроченная дебиторская задолженность – 1,6 млрд рублей.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общем объеме просроченной дебиторской задолженности: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544,8 млн рублей – задолженность по расчетам</w:t>
      </w:r>
      <w:r>
        <w:rPr>
          <w:sz w:val="28"/>
          <w:szCs w:val="28"/>
        </w:rPr>
        <w:t xml:space="preserve"> с плательщиками налоговых доходов;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151,9 млн рублей – задолженность физических лиц по оплате за </w:t>
      </w:r>
      <w:proofErr w:type="spellStart"/>
      <w:r>
        <w:rPr>
          <w:sz w:val="28"/>
          <w:szCs w:val="28"/>
        </w:rPr>
        <w:t>найм</w:t>
      </w:r>
      <w:proofErr w:type="spellEnd"/>
      <w:r>
        <w:rPr>
          <w:sz w:val="28"/>
          <w:szCs w:val="28"/>
        </w:rPr>
        <w:t xml:space="preserve"> жилых помещений муниципального жилого фонда. В целях уменьшения просроченной задолженности Управлением коммунального хозяйства Петропавловск-Камчатского г</w:t>
      </w:r>
      <w:r>
        <w:rPr>
          <w:sz w:val="28"/>
          <w:szCs w:val="28"/>
        </w:rPr>
        <w:t>ородского округа проводится работа по взысканию задолженности в судебном порядке;</w:t>
      </w:r>
    </w:p>
    <w:p w:rsidR="00DD3C44" w:rsidRDefault="00066E48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127,8 млн рублей – Управлением имущественных и земельных отношений администрации Петропавловск-Камчатского городского округа отражена задолженность ПАО "Камчатскэнерго" по до</w:t>
      </w:r>
      <w:r>
        <w:rPr>
          <w:sz w:val="28"/>
          <w:szCs w:val="28"/>
        </w:rPr>
        <w:t xml:space="preserve">говорам аренды имущества, из которой </w:t>
      </w:r>
      <w:r>
        <w:rPr>
          <w:sz w:val="28"/>
          <w:szCs w:val="28"/>
        </w:rPr>
        <w:br/>
        <w:t xml:space="preserve">задолженность в сумме 92,7 млн рублей погашена в январе 2026 года. По оставшейся сумме задолженности ведется работа по взысканию в судебном порядке; </w:t>
      </w:r>
    </w:p>
    <w:p w:rsidR="00DD3C44" w:rsidRDefault="00066E48">
      <w:pPr>
        <w:spacing w:line="25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74,3 млн рублей – на основании судебных решений начислены пени за не</w:t>
      </w:r>
      <w:r>
        <w:rPr>
          <w:bCs/>
          <w:sz w:val="28"/>
          <w:szCs w:val="28"/>
        </w:rPr>
        <w:t>своевременное (или не полное) внесение арендной платы за землю;</w:t>
      </w:r>
    </w:p>
    <w:p w:rsidR="00DD3C44" w:rsidRDefault="00066E48">
      <w:pPr>
        <w:shd w:val="clear" w:color="auto" w:fill="FFFFFF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37,8 млн рублей – задолженность ООО "Кариатида" за невыполненные услуги по поставке, сборке, установке и монтажу модульного спортивного зала в МОКУ "Соболевская средняя школа". Проводится рабо</w:t>
      </w:r>
      <w:r>
        <w:rPr>
          <w:sz w:val="28"/>
          <w:szCs w:val="28"/>
        </w:rPr>
        <w:t>та по взысканию задолженности в судебном порядке.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</w:rPr>
        <w:t xml:space="preserve">Кроме того, в состав просроченной дебиторской задолженности консолидированного бюджета входит задолженность, отраженная в составе отчетности об исполнении краевого бюджета за 2025 год (форма 0503169). </w:t>
      </w:r>
    </w:p>
    <w:p w:rsidR="00DD3C44" w:rsidRDefault="00066E48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Кред</w:t>
      </w:r>
      <w:r>
        <w:rPr>
          <w:i/>
          <w:sz w:val="28"/>
          <w:szCs w:val="28"/>
        </w:rPr>
        <w:t>иторская задолженность</w:t>
      </w:r>
      <w:r>
        <w:rPr>
          <w:sz w:val="28"/>
          <w:szCs w:val="28"/>
        </w:rPr>
        <w:t xml:space="preserve"> консолидированного бюджета Камчатского края по состоянию на 01.01.2026 составила 26,3 млрд рублей, в том числе просроченная кредиторская задолженность – 5,2 млрд рублей. </w:t>
      </w:r>
    </w:p>
    <w:p w:rsidR="00DD3C44" w:rsidRDefault="00066E48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общем объеме просроченной кредиторской задолженности 4,3 млн</w:t>
      </w:r>
      <w:r>
        <w:rPr>
          <w:sz w:val="28"/>
          <w:szCs w:val="28"/>
        </w:rPr>
        <w:t xml:space="preserve"> рублей задолженность по платежам за коммунальные услуги, услуги связи, за приобретение материальных запасов и основных средств в бюджетах муниципальных образований.</w:t>
      </w:r>
    </w:p>
    <w:p w:rsidR="00DD3C44" w:rsidRDefault="00066E48">
      <w:pPr>
        <w:spacing w:line="252" w:lineRule="auto"/>
        <w:ind w:firstLine="708"/>
        <w:jc w:val="both"/>
        <w:rPr>
          <w:i/>
          <w:sz w:val="28"/>
        </w:rPr>
      </w:pPr>
      <w:r>
        <w:rPr>
          <w:i/>
          <w:sz w:val="28"/>
        </w:rPr>
        <w:t xml:space="preserve">Форма 0503372 "Сведения о государственном (муниципальном) долге предоставленных бюджетных </w:t>
      </w:r>
      <w:r>
        <w:rPr>
          <w:i/>
          <w:sz w:val="28"/>
        </w:rPr>
        <w:t>кредитах консолидированного бюджета".</w:t>
      </w:r>
    </w:p>
    <w:p w:rsidR="00DD3C44" w:rsidRDefault="00066E48">
      <w:pPr>
        <w:ind w:firstLine="709"/>
        <w:jc w:val="both"/>
        <w:rPr>
          <w:sz w:val="28"/>
        </w:rPr>
      </w:pPr>
      <w:r>
        <w:rPr>
          <w:sz w:val="28"/>
          <w:szCs w:val="28"/>
        </w:rPr>
        <w:t>Объем муниципального долга за 2025 год сократился на 162,0 млн рублей и по состоянию на 1 января 2026 года составил 22,0 млн рублей.</w:t>
      </w:r>
    </w:p>
    <w:p w:rsidR="00DD3C44" w:rsidRDefault="00DD3C44">
      <w:pPr>
        <w:tabs>
          <w:tab w:val="left" w:pos="709"/>
        </w:tabs>
        <w:ind w:firstLine="709"/>
        <w:jc w:val="both"/>
        <w:rPr>
          <w:sz w:val="28"/>
        </w:rPr>
      </w:pPr>
    </w:p>
    <w:p w:rsidR="00DD3C44" w:rsidRDefault="00DD3C44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sectPr w:rsidR="00DD3C4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/>
      <w:pgMar w:top="907" w:right="567" w:bottom="851" w:left="1134" w:header="720" w:footer="4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C44" w:rsidRDefault="00066E48">
      <w:r>
        <w:separator/>
      </w:r>
    </w:p>
  </w:endnote>
  <w:endnote w:type="continuationSeparator" w:id="0">
    <w:p w:rsidR="00DD3C44" w:rsidRDefault="0006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C44" w:rsidRDefault="00DD3C44">
    <w:pPr>
      <w:pStyle w:val="af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C44" w:rsidRDefault="00DD3C44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C44" w:rsidRDefault="00066E48">
      <w:r>
        <w:separator/>
      </w:r>
    </w:p>
  </w:footnote>
  <w:footnote w:type="continuationSeparator" w:id="0">
    <w:p w:rsidR="00DD3C44" w:rsidRDefault="0006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C44" w:rsidRDefault="00066E48">
    <w:pPr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noProof/>
        <w:sz w:val="28"/>
      </w:rPr>
      <w:t>24</w:t>
    </w:r>
    <w:r>
      <w:rPr>
        <w:sz w:val="28"/>
      </w:rPr>
      <w:fldChar w:fldCharType="end"/>
    </w:r>
  </w:p>
  <w:p w:rsidR="00DD3C44" w:rsidRDefault="00DD3C44">
    <w:pPr>
      <w:pStyle w:val="af2"/>
      <w:jc w:val="center"/>
    </w:pPr>
  </w:p>
  <w:p w:rsidR="00DD3C44" w:rsidRDefault="00DD3C4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C44" w:rsidRDefault="00DD3C4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4591"/>
    <w:multiLevelType w:val="hybridMultilevel"/>
    <w:tmpl w:val="FBB86D0A"/>
    <w:lvl w:ilvl="0" w:tplc="88FE14C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3DFC623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A3A60D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13E0CA4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484E6EE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CFE909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372F20E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97F2C91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2DC90F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1A46D8"/>
    <w:multiLevelType w:val="hybridMultilevel"/>
    <w:tmpl w:val="200A6D4A"/>
    <w:lvl w:ilvl="0" w:tplc="397CD530">
      <w:start w:val="1"/>
      <w:numFmt w:val="bullet"/>
      <w:lvlText w:val=""/>
      <w:lvlJc w:val="left"/>
      <w:pPr>
        <w:ind w:left="1353" w:hanging="360"/>
      </w:pPr>
      <w:rPr>
        <w:rFonts w:ascii="Wingdings" w:hAnsi="Wingdings"/>
      </w:rPr>
    </w:lvl>
    <w:lvl w:ilvl="1" w:tplc="1FC29A4A">
      <w:start w:val="1"/>
      <w:numFmt w:val="bullet"/>
      <w:lvlText w:val="o"/>
      <w:lvlJc w:val="left"/>
      <w:pPr>
        <w:ind w:left="1506" w:hanging="360"/>
      </w:pPr>
      <w:rPr>
        <w:rFonts w:ascii="Courier New" w:hAnsi="Courier New"/>
      </w:rPr>
    </w:lvl>
    <w:lvl w:ilvl="2" w:tplc="83A8351C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0270E464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5108F50E">
      <w:start w:val="1"/>
      <w:numFmt w:val="bullet"/>
      <w:lvlText w:val="o"/>
      <w:lvlJc w:val="left"/>
      <w:pPr>
        <w:ind w:left="3666" w:hanging="360"/>
      </w:pPr>
      <w:rPr>
        <w:rFonts w:ascii="Courier New" w:hAnsi="Courier New"/>
      </w:rPr>
    </w:lvl>
    <w:lvl w:ilvl="5" w:tplc="B450E444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7FA6705C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FEA6B710">
      <w:start w:val="1"/>
      <w:numFmt w:val="bullet"/>
      <w:lvlText w:val="o"/>
      <w:lvlJc w:val="left"/>
      <w:pPr>
        <w:ind w:left="5826" w:hanging="360"/>
      </w:pPr>
      <w:rPr>
        <w:rFonts w:ascii="Courier New" w:hAnsi="Courier New"/>
      </w:rPr>
    </w:lvl>
    <w:lvl w:ilvl="8" w:tplc="7C040C96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2" w15:restartNumberingAfterBreak="0">
    <w:nsid w:val="1F664DEB"/>
    <w:multiLevelType w:val="hybridMultilevel"/>
    <w:tmpl w:val="C67406EC"/>
    <w:lvl w:ilvl="0" w:tplc="D5362FD6">
      <w:start w:val="1"/>
      <w:numFmt w:val="bullet"/>
      <w:lvlText w:val=""/>
      <w:lvlJc w:val="left"/>
      <w:pPr>
        <w:tabs>
          <w:tab w:val="left" w:pos="928"/>
        </w:tabs>
        <w:ind w:left="928" w:hanging="360"/>
      </w:pPr>
      <w:rPr>
        <w:rFonts w:ascii="Wingdings" w:hAnsi="Wingdings"/>
      </w:rPr>
    </w:lvl>
    <w:lvl w:ilvl="1" w:tplc="939AF8E0">
      <w:start w:val="1"/>
      <w:numFmt w:val="bullet"/>
      <w:lvlText w:val="o"/>
      <w:lvlJc w:val="left"/>
      <w:pPr>
        <w:tabs>
          <w:tab w:val="left" w:pos="2235"/>
        </w:tabs>
        <w:ind w:left="2235" w:hanging="360"/>
      </w:pPr>
      <w:rPr>
        <w:rFonts w:ascii="Courier New" w:hAnsi="Courier New"/>
      </w:rPr>
    </w:lvl>
    <w:lvl w:ilvl="2" w:tplc="708A0172">
      <w:start w:val="1"/>
      <w:numFmt w:val="bullet"/>
      <w:lvlText w:val=""/>
      <w:lvlJc w:val="left"/>
      <w:pPr>
        <w:tabs>
          <w:tab w:val="left" w:pos="2955"/>
        </w:tabs>
        <w:ind w:left="2955" w:hanging="360"/>
      </w:pPr>
      <w:rPr>
        <w:rFonts w:ascii="Wingdings" w:hAnsi="Wingdings"/>
      </w:rPr>
    </w:lvl>
    <w:lvl w:ilvl="3" w:tplc="EBA854F4">
      <w:start w:val="1"/>
      <w:numFmt w:val="bullet"/>
      <w:lvlText w:val=""/>
      <w:lvlJc w:val="left"/>
      <w:pPr>
        <w:tabs>
          <w:tab w:val="left" w:pos="3675"/>
        </w:tabs>
        <w:ind w:left="3675" w:hanging="360"/>
      </w:pPr>
      <w:rPr>
        <w:rFonts w:ascii="Symbol" w:hAnsi="Symbol"/>
      </w:rPr>
    </w:lvl>
    <w:lvl w:ilvl="4" w:tplc="A93271C0">
      <w:start w:val="1"/>
      <w:numFmt w:val="bullet"/>
      <w:lvlText w:val="o"/>
      <w:lvlJc w:val="left"/>
      <w:pPr>
        <w:tabs>
          <w:tab w:val="left" w:pos="4395"/>
        </w:tabs>
        <w:ind w:left="4395" w:hanging="360"/>
      </w:pPr>
      <w:rPr>
        <w:rFonts w:ascii="Courier New" w:hAnsi="Courier New"/>
      </w:rPr>
    </w:lvl>
    <w:lvl w:ilvl="5" w:tplc="493605E4">
      <w:start w:val="1"/>
      <w:numFmt w:val="bullet"/>
      <w:lvlText w:val=""/>
      <w:lvlJc w:val="left"/>
      <w:pPr>
        <w:tabs>
          <w:tab w:val="left" w:pos="5115"/>
        </w:tabs>
        <w:ind w:left="5115" w:hanging="360"/>
      </w:pPr>
      <w:rPr>
        <w:rFonts w:ascii="Wingdings" w:hAnsi="Wingdings"/>
      </w:rPr>
    </w:lvl>
    <w:lvl w:ilvl="6" w:tplc="7BC0D5A4">
      <w:start w:val="1"/>
      <w:numFmt w:val="bullet"/>
      <w:lvlText w:val=""/>
      <w:lvlJc w:val="left"/>
      <w:pPr>
        <w:tabs>
          <w:tab w:val="left" w:pos="5835"/>
        </w:tabs>
        <w:ind w:left="5835" w:hanging="360"/>
      </w:pPr>
      <w:rPr>
        <w:rFonts w:ascii="Symbol" w:hAnsi="Symbol"/>
      </w:rPr>
    </w:lvl>
    <w:lvl w:ilvl="7" w:tplc="AEAA38E2">
      <w:start w:val="1"/>
      <w:numFmt w:val="bullet"/>
      <w:lvlText w:val="o"/>
      <w:lvlJc w:val="left"/>
      <w:pPr>
        <w:tabs>
          <w:tab w:val="left" w:pos="6555"/>
        </w:tabs>
        <w:ind w:left="6555" w:hanging="360"/>
      </w:pPr>
      <w:rPr>
        <w:rFonts w:ascii="Courier New" w:hAnsi="Courier New"/>
      </w:rPr>
    </w:lvl>
    <w:lvl w:ilvl="8" w:tplc="C4D4794A">
      <w:start w:val="1"/>
      <w:numFmt w:val="bullet"/>
      <w:lvlText w:val=""/>
      <w:lvlJc w:val="left"/>
      <w:pPr>
        <w:tabs>
          <w:tab w:val="left" w:pos="7275"/>
        </w:tabs>
        <w:ind w:left="7275" w:hanging="360"/>
      </w:pPr>
      <w:rPr>
        <w:rFonts w:ascii="Wingdings" w:hAnsi="Wingdings"/>
      </w:rPr>
    </w:lvl>
  </w:abstractNum>
  <w:abstractNum w:abstractNumId="3" w15:restartNumberingAfterBreak="0">
    <w:nsid w:val="2BC02BDC"/>
    <w:multiLevelType w:val="hybridMultilevel"/>
    <w:tmpl w:val="C596A490"/>
    <w:lvl w:ilvl="0" w:tplc="C994D5AE">
      <w:start w:val="1"/>
      <w:numFmt w:val="decimal"/>
      <w:lvlText w:val="%1."/>
      <w:lvlJc w:val="left"/>
      <w:pPr>
        <w:ind w:left="1069" w:hanging="360"/>
      </w:pPr>
    </w:lvl>
    <w:lvl w:ilvl="1" w:tplc="F236945C">
      <w:start w:val="1"/>
      <w:numFmt w:val="lowerLetter"/>
      <w:lvlText w:val="%2."/>
      <w:lvlJc w:val="left"/>
      <w:pPr>
        <w:ind w:left="1789" w:hanging="360"/>
      </w:pPr>
    </w:lvl>
    <w:lvl w:ilvl="2" w:tplc="1F24ED7E">
      <w:start w:val="1"/>
      <w:numFmt w:val="lowerRoman"/>
      <w:lvlText w:val="%3."/>
      <w:lvlJc w:val="right"/>
      <w:pPr>
        <w:ind w:left="2509" w:hanging="180"/>
      </w:pPr>
    </w:lvl>
    <w:lvl w:ilvl="3" w:tplc="A59487A0">
      <w:start w:val="1"/>
      <w:numFmt w:val="decimal"/>
      <w:lvlText w:val="%4."/>
      <w:lvlJc w:val="left"/>
      <w:pPr>
        <w:ind w:left="3229" w:hanging="360"/>
      </w:pPr>
    </w:lvl>
    <w:lvl w:ilvl="4" w:tplc="9F340312">
      <w:start w:val="1"/>
      <w:numFmt w:val="lowerLetter"/>
      <w:lvlText w:val="%5."/>
      <w:lvlJc w:val="left"/>
      <w:pPr>
        <w:ind w:left="3949" w:hanging="360"/>
      </w:pPr>
    </w:lvl>
    <w:lvl w:ilvl="5" w:tplc="26841CC4">
      <w:start w:val="1"/>
      <w:numFmt w:val="lowerRoman"/>
      <w:lvlText w:val="%6."/>
      <w:lvlJc w:val="right"/>
      <w:pPr>
        <w:ind w:left="4669" w:hanging="180"/>
      </w:pPr>
    </w:lvl>
    <w:lvl w:ilvl="6" w:tplc="040228AA">
      <w:start w:val="1"/>
      <w:numFmt w:val="decimal"/>
      <w:lvlText w:val="%7."/>
      <w:lvlJc w:val="left"/>
      <w:pPr>
        <w:ind w:left="5389" w:hanging="360"/>
      </w:pPr>
    </w:lvl>
    <w:lvl w:ilvl="7" w:tplc="6848120E">
      <w:start w:val="1"/>
      <w:numFmt w:val="lowerLetter"/>
      <w:lvlText w:val="%8."/>
      <w:lvlJc w:val="left"/>
      <w:pPr>
        <w:ind w:left="6109" w:hanging="360"/>
      </w:pPr>
    </w:lvl>
    <w:lvl w:ilvl="8" w:tplc="ED36F47E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D14BB0"/>
    <w:multiLevelType w:val="hybridMultilevel"/>
    <w:tmpl w:val="CB82D826"/>
    <w:lvl w:ilvl="0" w:tplc="A12CA2C2">
      <w:start w:val="1"/>
      <w:numFmt w:val="decimal"/>
      <w:lvlText w:val="%1)"/>
      <w:lvlJc w:val="left"/>
      <w:pPr>
        <w:tabs>
          <w:tab w:val="left" w:pos="1070"/>
        </w:tabs>
        <w:ind w:left="1070" w:hanging="360"/>
      </w:pPr>
      <w:rPr>
        <w:rFonts w:ascii="Times New Roman" w:eastAsia="Times New Roman" w:hAnsi="Times New Roman" w:cs="Times New Roman"/>
        <w:i w:val="0"/>
      </w:rPr>
    </w:lvl>
    <w:lvl w:ilvl="1" w:tplc="732E3C5A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/>
      </w:rPr>
    </w:lvl>
    <w:lvl w:ilvl="2" w:tplc="AD646BB4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/>
      </w:rPr>
    </w:lvl>
    <w:lvl w:ilvl="3" w:tplc="33C8CF5A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/>
      </w:rPr>
    </w:lvl>
    <w:lvl w:ilvl="4" w:tplc="57D4B7A2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/>
      </w:rPr>
    </w:lvl>
    <w:lvl w:ilvl="5" w:tplc="732CD412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/>
      </w:rPr>
    </w:lvl>
    <w:lvl w:ilvl="6" w:tplc="33709C7E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/>
      </w:rPr>
    </w:lvl>
    <w:lvl w:ilvl="7" w:tplc="112C052E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/>
      </w:rPr>
    </w:lvl>
    <w:lvl w:ilvl="8" w:tplc="39887CBA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/>
      </w:rPr>
    </w:lvl>
  </w:abstractNum>
  <w:abstractNum w:abstractNumId="5" w15:restartNumberingAfterBreak="0">
    <w:nsid w:val="572162CD"/>
    <w:multiLevelType w:val="hybridMultilevel"/>
    <w:tmpl w:val="359AC8A8"/>
    <w:lvl w:ilvl="0" w:tplc="8EB63EA0">
      <w:start w:val="1"/>
      <w:numFmt w:val="bullet"/>
      <w:lvlText w:val=""/>
      <w:lvlJc w:val="left"/>
      <w:pPr>
        <w:ind w:left="1210" w:hanging="360"/>
      </w:pPr>
      <w:rPr>
        <w:rFonts w:ascii="Wingdings" w:hAnsi="Wingdings"/>
      </w:rPr>
    </w:lvl>
    <w:lvl w:ilvl="1" w:tplc="E8246DD8">
      <w:start w:val="1"/>
      <w:numFmt w:val="bullet"/>
      <w:lvlText w:val="o"/>
      <w:lvlJc w:val="left"/>
      <w:pPr>
        <w:ind w:left="1930" w:hanging="360"/>
      </w:pPr>
      <w:rPr>
        <w:rFonts w:ascii="Courier New" w:hAnsi="Courier New"/>
      </w:rPr>
    </w:lvl>
    <w:lvl w:ilvl="2" w:tplc="82AEB3DE">
      <w:start w:val="1"/>
      <w:numFmt w:val="bullet"/>
      <w:lvlText w:val=""/>
      <w:lvlJc w:val="left"/>
      <w:pPr>
        <w:ind w:left="2650" w:hanging="360"/>
      </w:pPr>
      <w:rPr>
        <w:rFonts w:ascii="Wingdings" w:hAnsi="Wingdings"/>
      </w:rPr>
    </w:lvl>
    <w:lvl w:ilvl="3" w:tplc="D0943930">
      <w:start w:val="1"/>
      <w:numFmt w:val="bullet"/>
      <w:lvlText w:val=""/>
      <w:lvlJc w:val="left"/>
      <w:pPr>
        <w:ind w:left="3370" w:hanging="360"/>
      </w:pPr>
      <w:rPr>
        <w:rFonts w:ascii="Symbol" w:hAnsi="Symbol"/>
      </w:rPr>
    </w:lvl>
    <w:lvl w:ilvl="4" w:tplc="6A12B660">
      <w:start w:val="1"/>
      <w:numFmt w:val="bullet"/>
      <w:lvlText w:val="o"/>
      <w:lvlJc w:val="left"/>
      <w:pPr>
        <w:ind w:left="4090" w:hanging="360"/>
      </w:pPr>
      <w:rPr>
        <w:rFonts w:ascii="Courier New" w:hAnsi="Courier New"/>
      </w:rPr>
    </w:lvl>
    <w:lvl w:ilvl="5" w:tplc="0DCA59CA">
      <w:start w:val="1"/>
      <w:numFmt w:val="bullet"/>
      <w:lvlText w:val=""/>
      <w:lvlJc w:val="left"/>
      <w:pPr>
        <w:ind w:left="4810" w:hanging="360"/>
      </w:pPr>
      <w:rPr>
        <w:rFonts w:ascii="Wingdings" w:hAnsi="Wingdings"/>
      </w:rPr>
    </w:lvl>
    <w:lvl w:ilvl="6" w:tplc="316C8CD2">
      <w:start w:val="1"/>
      <w:numFmt w:val="bullet"/>
      <w:lvlText w:val=""/>
      <w:lvlJc w:val="left"/>
      <w:pPr>
        <w:ind w:left="5530" w:hanging="360"/>
      </w:pPr>
      <w:rPr>
        <w:rFonts w:ascii="Symbol" w:hAnsi="Symbol"/>
      </w:rPr>
    </w:lvl>
    <w:lvl w:ilvl="7" w:tplc="D18803D6">
      <w:start w:val="1"/>
      <w:numFmt w:val="bullet"/>
      <w:lvlText w:val="o"/>
      <w:lvlJc w:val="left"/>
      <w:pPr>
        <w:ind w:left="6250" w:hanging="360"/>
      </w:pPr>
      <w:rPr>
        <w:rFonts w:ascii="Courier New" w:hAnsi="Courier New"/>
      </w:rPr>
    </w:lvl>
    <w:lvl w:ilvl="8" w:tplc="65609C00">
      <w:start w:val="1"/>
      <w:numFmt w:val="bullet"/>
      <w:lvlText w:val=""/>
      <w:lvlJc w:val="left"/>
      <w:pPr>
        <w:ind w:left="697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C44"/>
    <w:rsid w:val="00066E48"/>
    <w:rsid w:val="00DD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6D5FA"/>
  <w15:docId w15:val="{0DF414B6-BA23-4B99-AE97-3CD8B67F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link w:val="a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7">
    <w:name w:val="Название объекта Знак"/>
    <w:basedOn w:val="a0"/>
    <w:link w:val="a6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">
    <w:name w:val="Обычный1"/>
  </w:style>
  <w:style w:type="paragraph" w:styleId="ae">
    <w:name w:val="annotation subject"/>
    <w:basedOn w:val="af"/>
    <w:next w:val="af"/>
    <w:link w:val="af0"/>
    <w:rPr>
      <w:b/>
    </w:rPr>
  </w:style>
  <w:style w:type="character" w:customStyle="1" w:styleId="af0">
    <w:name w:val="Тема примечания Знак"/>
    <w:basedOn w:val="af1"/>
    <w:link w:val="ae"/>
    <w:rPr>
      <w:b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"/>
    <w:link w:val="af2"/>
  </w:style>
  <w:style w:type="paragraph" w:styleId="af">
    <w:name w:val="annotation text"/>
    <w:basedOn w:val="a"/>
    <w:link w:val="af1"/>
  </w:style>
  <w:style w:type="character" w:customStyle="1" w:styleId="af1">
    <w:name w:val="Текст примечания Знак"/>
    <w:basedOn w:val="1"/>
    <w:link w:val="af"/>
  </w:style>
  <w:style w:type="paragraph" w:customStyle="1" w:styleId="15">
    <w:name w:val="Номер страницы1"/>
    <w:basedOn w:val="af4"/>
    <w:link w:val="16"/>
  </w:style>
  <w:style w:type="character" w:customStyle="1" w:styleId="16">
    <w:name w:val="Номер страницы1"/>
    <w:basedOn w:val="af5"/>
    <w:link w:val="15"/>
    <w:rPr>
      <w:rFonts w:ascii="Verdana" w:hAnsi="Verdana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7">
    <w:name w:val="Знак сноски1"/>
    <w:basedOn w:val="18"/>
    <w:link w:val="19"/>
    <w:rPr>
      <w:vertAlign w:val="superscript"/>
    </w:rPr>
  </w:style>
  <w:style w:type="character" w:customStyle="1" w:styleId="19">
    <w:name w:val="Знак сноски1"/>
    <w:basedOn w:val="1a"/>
    <w:link w:val="17"/>
    <w:rPr>
      <w:vertAlign w:val="superscript"/>
    </w:rPr>
  </w:style>
  <w:style w:type="paragraph" w:customStyle="1" w:styleId="consplusnormal">
    <w:name w:val="consplusnormal"/>
    <w:basedOn w:val="a"/>
    <w:link w:val="consplusnormal0"/>
    <w:pPr>
      <w:widowControl/>
      <w:spacing w:before="150" w:afterAutospacing="1"/>
      <w:ind w:firstLine="150"/>
      <w:jc w:val="both"/>
    </w:pPr>
    <w:rPr>
      <w:sz w:val="21"/>
    </w:rPr>
  </w:style>
  <w:style w:type="character" w:customStyle="1" w:styleId="consplusnormal0">
    <w:name w:val="consplusnormal"/>
    <w:basedOn w:val="1"/>
    <w:link w:val="consplusnormal"/>
    <w:rPr>
      <w:sz w:val="21"/>
    </w:rPr>
  </w:style>
  <w:style w:type="paragraph" w:customStyle="1" w:styleId="af6">
    <w:name w:val="Знак"/>
    <w:basedOn w:val="a"/>
    <w:link w:val="af7"/>
    <w:pPr>
      <w:spacing w:after="160" w:line="240" w:lineRule="exact"/>
      <w:jc w:val="right"/>
    </w:pPr>
  </w:style>
  <w:style w:type="character" w:customStyle="1" w:styleId="af7">
    <w:name w:val="Знак"/>
    <w:basedOn w:val="1"/>
    <w:link w:val="af6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Pr>
      <w:rFonts w:ascii="Tahoma" w:hAnsi="Tahoma"/>
      <w:sz w:val="16"/>
    </w:rPr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paragraph" w:styleId="afa">
    <w:name w:val="Body Text Indent"/>
    <w:basedOn w:val="a"/>
    <w:link w:val="afb"/>
    <w:pPr>
      <w:widowControl/>
      <w:spacing w:after="120"/>
      <w:ind w:left="283"/>
    </w:pPr>
  </w:style>
  <w:style w:type="character" w:customStyle="1" w:styleId="afb">
    <w:name w:val="Основной текст с отступом Знак"/>
    <w:basedOn w:val="1"/>
    <w:link w:val="afa"/>
  </w:style>
  <w:style w:type="paragraph" w:customStyle="1" w:styleId="1b">
    <w:name w:val="Знак сноски1"/>
    <w:link w:val="1c"/>
    <w:rPr>
      <w:vertAlign w:val="superscript"/>
    </w:rPr>
  </w:style>
  <w:style w:type="character" w:customStyle="1" w:styleId="1c">
    <w:name w:val="Знак сноски1"/>
    <w:link w:val="1b"/>
    <w:rPr>
      <w:vertAlign w:val="superscript"/>
    </w:rPr>
  </w:style>
  <w:style w:type="paragraph" w:customStyle="1" w:styleId="afc">
    <w:name w:val="Знак Знак Знак Знак"/>
    <w:basedOn w:val="a"/>
    <w:link w:val="afd"/>
    <w:pPr>
      <w:widowControl/>
      <w:spacing w:beforeAutospacing="1" w:afterAutospacing="1"/>
    </w:pPr>
    <w:rPr>
      <w:rFonts w:ascii="Tahoma" w:hAnsi="Tahoma"/>
    </w:rPr>
  </w:style>
  <w:style w:type="character" w:customStyle="1" w:styleId="afd">
    <w:name w:val="Знак Знак Знак Знак"/>
    <w:basedOn w:val="1"/>
    <w:link w:val="afc"/>
    <w:rPr>
      <w:rFonts w:ascii="Tahoma" w:hAnsi="Tahoma"/>
    </w:rPr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paragraph" w:customStyle="1" w:styleId="28">
    <w:name w:val="Знак примечания2"/>
    <w:basedOn w:val="18"/>
    <w:link w:val="29"/>
    <w:rPr>
      <w:sz w:val="16"/>
    </w:rPr>
  </w:style>
  <w:style w:type="character" w:customStyle="1" w:styleId="29">
    <w:name w:val="Знак примечания2"/>
    <w:basedOn w:val="1a"/>
    <w:link w:val="28"/>
    <w:rPr>
      <w:sz w:val="16"/>
    </w:rPr>
  </w:style>
  <w:style w:type="paragraph" w:customStyle="1" w:styleId="1f">
    <w:name w:val="Знак примечания1"/>
    <w:link w:val="1f0"/>
    <w:rPr>
      <w:sz w:val="16"/>
    </w:rPr>
  </w:style>
  <w:style w:type="character" w:customStyle="1" w:styleId="1f0">
    <w:name w:val="Знак примечания1"/>
    <w:link w:val="1f"/>
    <w:rPr>
      <w:sz w:val="16"/>
    </w:rPr>
  </w:style>
  <w:style w:type="paragraph" w:customStyle="1" w:styleId="af4">
    <w:name w:val="Знак Знак Знак Знак Знак Знак Знак Знак Знак Знак Знак Знак"/>
    <w:basedOn w:val="a"/>
    <w:link w:val="af5"/>
    <w:pPr>
      <w:widowControl/>
      <w:spacing w:after="160" w:line="240" w:lineRule="exact"/>
    </w:pPr>
    <w:rPr>
      <w:rFonts w:ascii="Verdana" w:hAnsi="Verdana"/>
    </w:rPr>
  </w:style>
  <w:style w:type="character" w:customStyle="1" w:styleId="af5">
    <w:name w:val="Знак Знак Знак Знак Знак Знак Знак Знак Знак Знак Знак Знак"/>
    <w:basedOn w:val="1"/>
    <w:link w:val="af4"/>
    <w:rPr>
      <w:rFonts w:ascii="Verdana" w:hAnsi="Verdana"/>
    </w:rPr>
  </w:style>
  <w:style w:type="paragraph" w:customStyle="1" w:styleId="1f1">
    <w:name w:val="Гиперссылка1"/>
    <w:link w:val="1f2"/>
    <w:rPr>
      <w:color w:val="3366B6"/>
      <w:u w:val="single"/>
    </w:rPr>
  </w:style>
  <w:style w:type="character" w:customStyle="1" w:styleId="1f2">
    <w:name w:val="Гиперссылка1"/>
    <w:link w:val="1f1"/>
    <w:rPr>
      <w:color w:val="3366B6"/>
      <w:u w:val="single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f3">
    <w:name w:val="Знак концевой сноски1"/>
    <w:basedOn w:val="18"/>
    <w:link w:val="1f4"/>
    <w:rPr>
      <w:vertAlign w:val="superscript"/>
    </w:rPr>
  </w:style>
  <w:style w:type="character" w:customStyle="1" w:styleId="1f4">
    <w:name w:val="Знак концевой сноски1"/>
    <w:basedOn w:val="1a"/>
    <w:link w:val="1f3"/>
    <w:rPr>
      <w:vertAlign w:val="superscript"/>
    </w:rPr>
  </w:style>
  <w:style w:type="paragraph" w:customStyle="1" w:styleId="2a">
    <w:name w:val="Основной шрифт абзаца2"/>
  </w:style>
  <w:style w:type="paragraph" w:customStyle="1" w:styleId="1f5">
    <w:name w:val="Гиперссылка1"/>
    <w:link w:val="1f6"/>
    <w:rPr>
      <w:color w:val="0000FF"/>
      <w:u w:val="single"/>
    </w:rPr>
  </w:style>
  <w:style w:type="character" w:customStyle="1" w:styleId="1f6">
    <w:name w:val="Гиперссылка1"/>
    <w:link w:val="1f5"/>
    <w:rPr>
      <w:color w:val="0000FF"/>
      <w:u w:val="single"/>
    </w:rPr>
  </w:style>
  <w:style w:type="paragraph" w:customStyle="1" w:styleId="ConsPlusNormal1">
    <w:name w:val="ConsPlusNormal"/>
    <w:link w:val="ConsPlusNormal2"/>
    <w:pPr>
      <w:widowControl w:val="0"/>
      <w:ind w:firstLine="720"/>
    </w:pPr>
    <w:rPr>
      <w:rFonts w:ascii="Arial" w:hAnsi="Arial"/>
    </w:rPr>
  </w:style>
  <w:style w:type="character" w:customStyle="1" w:styleId="ConsPlusNormal2">
    <w:name w:val="ConsPlusNormal"/>
    <w:link w:val="ConsPlusNormal1"/>
    <w:rPr>
      <w:rFonts w:ascii="Arial" w:hAnsi="Arial"/>
    </w:rPr>
  </w:style>
  <w:style w:type="paragraph" w:styleId="afe">
    <w:name w:val="List Paragraph"/>
    <w:basedOn w:val="a"/>
    <w:link w:val="aff"/>
    <w:pPr>
      <w:ind w:left="720"/>
      <w:contextualSpacing/>
    </w:pPr>
  </w:style>
  <w:style w:type="character" w:customStyle="1" w:styleId="aff">
    <w:name w:val="Абзац списка Знак"/>
    <w:basedOn w:val="1"/>
    <w:link w:val="afe"/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uiPriority w:val="9"/>
    <w:rPr>
      <w:rFonts w:ascii="Cambria" w:hAnsi="Cambria"/>
      <w:b/>
      <w:sz w:val="32"/>
    </w:rPr>
  </w:style>
  <w:style w:type="paragraph" w:customStyle="1" w:styleId="34">
    <w:name w:val="Гиперссылка3"/>
    <w:link w:val="aff0"/>
    <w:rPr>
      <w:color w:val="0000FF"/>
      <w:u w:val="single"/>
    </w:rPr>
  </w:style>
  <w:style w:type="character" w:styleId="aff0">
    <w:name w:val="Hyperlink"/>
    <w:link w:val="34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f7">
    <w:name w:val="toc 1"/>
    <w:next w:val="a"/>
    <w:link w:val="1f8"/>
    <w:uiPriority w:val="39"/>
    <w:rPr>
      <w:rFonts w:ascii="XO Thames" w:hAnsi="XO Thames"/>
      <w:b/>
      <w:sz w:val="28"/>
    </w:rPr>
  </w:style>
  <w:style w:type="character" w:customStyle="1" w:styleId="1f8">
    <w:name w:val="Оглавление 1 Знак"/>
    <w:link w:val="1f7"/>
    <w:rPr>
      <w:rFonts w:ascii="XO Thames" w:hAnsi="XO Thames"/>
      <w:b/>
      <w:sz w:val="28"/>
    </w:rPr>
  </w:style>
  <w:style w:type="paragraph" w:customStyle="1" w:styleId="1f9">
    <w:name w:val="Обычный1"/>
    <w:link w:val="1fa"/>
  </w:style>
  <w:style w:type="character" w:customStyle="1" w:styleId="1fa">
    <w:name w:val="Обычный1"/>
    <w:link w:val="1f9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8">
    <w:name w:val="Основной шрифт абзаца1"/>
    <w:link w:val="1a"/>
  </w:style>
  <w:style w:type="character" w:customStyle="1" w:styleId="1a">
    <w:name w:val="Основной шрифт абзаца1"/>
    <w:link w:val="18"/>
  </w:style>
  <w:style w:type="paragraph" w:styleId="aff1">
    <w:name w:val="footer"/>
    <w:basedOn w:val="a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"/>
    <w:link w:val="aff1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f3">
    <w:name w:val="endnote text"/>
    <w:basedOn w:val="a"/>
    <w:link w:val="aff4"/>
  </w:style>
  <w:style w:type="character" w:customStyle="1" w:styleId="aff4">
    <w:name w:val="Текст концевой сноски Знак"/>
    <w:basedOn w:val="1"/>
    <w:link w:val="aff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fb">
    <w:name w:val="Строгий1"/>
    <w:link w:val="1fc"/>
    <w:rPr>
      <w:b/>
    </w:rPr>
  </w:style>
  <w:style w:type="character" w:customStyle="1" w:styleId="1fc">
    <w:name w:val="Строгий1"/>
    <w:link w:val="1fb"/>
    <w:rPr>
      <w:b/>
    </w:rPr>
  </w:style>
  <w:style w:type="paragraph" w:customStyle="1" w:styleId="Footnote1">
    <w:name w:val="Footnote"/>
    <w:basedOn w:val="a"/>
    <w:link w:val="Footnote2"/>
    <w:pPr>
      <w:widowControl/>
    </w:pPr>
  </w:style>
  <w:style w:type="character" w:customStyle="1" w:styleId="Footnote2">
    <w:name w:val="Footnote"/>
    <w:basedOn w:val="1"/>
    <w:link w:val="Footnote1"/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pers1">
    <w:name w:val="pers1"/>
    <w:basedOn w:val="af4"/>
    <w:link w:val="pers10"/>
  </w:style>
  <w:style w:type="character" w:customStyle="1" w:styleId="pers10">
    <w:name w:val="pers1"/>
    <w:basedOn w:val="af5"/>
    <w:link w:val="pers1"/>
    <w:rPr>
      <w:rFonts w:ascii="Verdana" w:hAnsi="Verdana"/>
    </w:rPr>
  </w:style>
  <w:style w:type="paragraph" w:customStyle="1" w:styleId="1fd">
    <w:name w:val="Обычный1"/>
    <w:link w:val="1fe"/>
  </w:style>
  <w:style w:type="character" w:customStyle="1" w:styleId="1fe">
    <w:name w:val="Обычный1"/>
    <w:link w:val="1fd"/>
  </w:style>
  <w:style w:type="paragraph" w:styleId="aff5">
    <w:name w:val="Normal (Web)"/>
    <w:basedOn w:val="a"/>
    <w:link w:val="aff6"/>
    <w:uiPriority w:val="99"/>
    <w:pPr>
      <w:widowControl/>
      <w:spacing w:beforeAutospacing="1" w:afterAutospacing="1"/>
    </w:pPr>
    <w:rPr>
      <w:sz w:val="24"/>
    </w:rPr>
  </w:style>
  <w:style w:type="character" w:customStyle="1" w:styleId="aff6">
    <w:name w:val="Обычный (веб) Знак"/>
    <w:basedOn w:val="1"/>
    <w:link w:val="aff5"/>
    <w:rPr>
      <w:sz w:val="24"/>
    </w:rPr>
  </w:style>
  <w:style w:type="paragraph" w:styleId="aff7">
    <w:name w:val="Subtitle"/>
    <w:next w:val="a"/>
    <w:link w:val="aff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8">
    <w:name w:val="Подзаголовок Знак"/>
    <w:link w:val="aff7"/>
    <w:rPr>
      <w:rFonts w:ascii="XO Thames" w:hAnsi="XO Thames"/>
      <w:i/>
      <w:sz w:val="24"/>
    </w:rPr>
  </w:style>
  <w:style w:type="paragraph" w:customStyle="1" w:styleId="aff9">
    <w:name w:val="Знак Знак Знак Знак"/>
    <w:basedOn w:val="a"/>
    <w:link w:val="affa"/>
    <w:pPr>
      <w:widowControl/>
      <w:spacing w:after="160" w:line="240" w:lineRule="exact"/>
    </w:pPr>
    <w:rPr>
      <w:rFonts w:ascii="Verdana" w:hAnsi="Verdana"/>
    </w:rPr>
  </w:style>
  <w:style w:type="character" w:customStyle="1" w:styleId="affa">
    <w:name w:val="Знак Знак Знак Знак"/>
    <w:basedOn w:val="1"/>
    <w:link w:val="aff9"/>
    <w:rPr>
      <w:rFonts w:ascii="Verdana" w:hAnsi="Verdana"/>
    </w:rPr>
  </w:style>
  <w:style w:type="paragraph" w:styleId="affb">
    <w:name w:val="Title"/>
    <w:next w:val="a"/>
    <w:link w:val="af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c">
    <w:name w:val="Заголовок Знак"/>
    <w:link w:val="af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d">
    <w:name w:val="ЭЭГ"/>
    <w:basedOn w:val="a"/>
    <w:link w:val="affe"/>
    <w:pPr>
      <w:widowControl/>
      <w:spacing w:line="360" w:lineRule="auto"/>
      <w:ind w:firstLine="720"/>
      <w:jc w:val="both"/>
    </w:pPr>
    <w:rPr>
      <w:sz w:val="24"/>
    </w:rPr>
  </w:style>
  <w:style w:type="character" w:customStyle="1" w:styleId="affe">
    <w:name w:val="ЭЭГ"/>
    <w:basedOn w:val="1"/>
    <w:link w:val="affd"/>
    <w:rPr>
      <w:sz w:val="24"/>
    </w:rPr>
  </w:style>
  <w:style w:type="paragraph" w:styleId="afff">
    <w:name w:val="Body Text"/>
    <w:basedOn w:val="a"/>
    <w:link w:val="afff0"/>
    <w:pPr>
      <w:spacing w:after="120"/>
    </w:pPr>
  </w:style>
  <w:style w:type="character" w:customStyle="1" w:styleId="afff0">
    <w:name w:val="Основной текст Знак"/>
    <w:basedOn w:val="1"/>
    <w:link w:val="afff"/>
  </w:style>
  <w:style w:type="table" w:styleId="a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E05F6-5355-4D58-9EA6-B6C5DB80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11096</Words>
  <Characters>63248</Characters>
  <Application>Microsoft Office Word</Application>
  <DocSecurity>0</DocSecurity>
  <Lines>527</Lines>
  <Paragraphs>148</Paragraphs>
  <ScaleCrop>false</ScaleCrop>
  <Company/>
  <LinksUpToDate>false</LinksUpToDate>
  <CharactersWithSpaces>74196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Хамлова Наталья Львовна</cp:lastModifiedBy>
  <cp:revision>431</cp:revision>
  <dcterms:created xsi:type="dcterms:W3CDTF">2024-05-06T21:58:00Z</dcterms:created>
  <dcterms:modified xsi:type="dcterms:W3CDTF">2026-05-13T02:10:00Z</dcterms:modified>
</cp:coreProperties>
</file>